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B5E9" w14:textId="6C9CAF4C" w:rsidR="003D2216" w:rsidRDefault="003D2216" w:rsidP="003D2216">
      <w:pPr>
        <w:pStyle w:val="Bezproreda"/>
        <w:rPr>
          <w:rFonts w:cstheme="minorHAnsi"/>
          <w:b/>
          <w:sz w:val="24"/>
          <w:szCs w:val="24"/>
        </w:rPr>
      </w:pPr>
      <w:r>
        <w:rPr>
          <w:rFonts w:cstheme="minorHAnsi"/>
          <w:b/>
          <w:noProof/>
          <w:sz w:val="24"/>
          <w:szCs w:val="24"/>
          <w14:ligatures w14:val="standardContextual"/>
        </w:rPr>
        <w:drawing>
          <wp:inline distT="0" distB="0" distL="0" distR="0" wp14:anchorId="51FDF5E9" wp14:editId="4AB05535">
            <wp:extent cx="2370694" cy="1285875"/>
            <wp:effectExtent l="0" t="0" r="0" b="0"/>
            <wp:docPr id="52118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866" name="Slika 521186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76725" cy="1289146"/>
                    </a:xfrm>
                    <a:prstGeom prst="rect">
                      <a:avLst/>
                    </a:prstGeom>
                  </pic:spPr>
                </pic:pic>
              </a:graphicData>
            </a:graphic>
          </wp:inline>
        </w:drawing>
      </w:r>
    </w:p>
    <w:tbl>
      <w:tblPr>
        <w:tblW w:w="7200" w:type="dxa"/>
        <w:tblLook w:val="04A0" w:firstRow="1" w:lastRow="0" w:firstColumn="1" w:lastColumn="0" w:noHBand="0" w:noVBand="1"/>
      </w:tblPr>
      <w:tblGrid>
        <w:gridCol w:w="7200"/>
      </w:tblGrid>
      <w:tr w:rsidR="006E6F8D" w:rsidRPr="006E6F8D" w14:paraId="02F2752D" w14:textId="77777777" w:rsidTr="006E6F8D">
        <w:trPr>
          <w:trHeight w:val="255"/>
        </w:trPr>
        <w:tc>
          <w:tcPr>
            <w:tcW w:w="7200" w:type="dxa"/>
            <w:tcBorders>
              <w:top w:val="nil"/>
              <w:left w:val="nil"/>
              <w:bottom w:val="nil"/>
              <w:right w:val="nil"/>
            </w:tcBorders>
            <w:noWrap/>
            <w:vAlign w:val="bottom"/>
            <w:hideMark/>
          </w:tcPr>
          <w:p w14:paraId="45EF2886" w14:textId="066FFFD2" w:rsidR="006E6F8D" w:rsidRPr="006E6F8D" w:rsidRDefault="006E6F8D" w:rsidP="006E6F8D">
            <w:pPr>
              <w:spacing w:after="0" w:line="240" w:lineRule="auto"/>
              <w:rPr>
                <w:rFonts w:ascii="Arial" w:eastAsia="Times New Roman" w:hAnsi="Arial" w:cs="Arial"/>
                <w:sz w:val="20"/>
                <w:szCs w:val="20"/>
                <w:lang w:eastAsia="hr-HR"/>
              </w:rPr>
            </w:pPr>
            <w:r w:rsidRPr="006E6F8D">
              <w:rPr>
                <w:rFonts w:ascii="Arial" w:eastAsia="Times New Roman" w:hAnsi="Arial" w:cs="Arial"/>
                <w:sz w:val="20"/>
                <w:szCs w:val="20"/>
                <w:lang w:eastAsia="hr-HR"/>
              </w:rPr>
              <w:t xml:space="preserve">KLASA: </w:t>
            </w:r>
            <w:r w:rsidRPr="00BA75B7">
              <w:rPr>
                <w:rFonts w:ascii="Arial" w:eastAsia="Times New Roman" w:hAnsi="Arial" w:cs="Arial"/>
                <w:sz w:val="20"/>
                <w:szCs w:val="20"/>
                <w:lang w:eastAsia="hr-HR"/>
              </w:rPr>
              <w:t>400-08/2</w:t>
            </w:r>
            <w:r w:rsidR="009D7A4B">
              <w:rPr>
                <w:rFonts w:ascii="Arial" w:eastAsia="Times New Roman" w:hAnsi="Arial" w:cs="Arial"/>
                <w:sz w:val="20"/>
                <w:szCs w:val="20"/>
                <w:lang w:eastAsia="hr-HR"/>
              </w:rPr>
              <w:t>6</w:t>
            </w:r>
            <w:r w:rsidRPr="00BA75B7">
              <w:rPr>
                <w:rFonts w:ascii="Arial" w:eastAsia="Times New Roman" w:hAnsi="Arial" w:cs="Arial"/>
                <w:sz w:val="20"/>
                <w:szCs w:val="20"/>
                <w:lang w:eastAsia="hr-HR"/>
              </w:rPr>
              <w:t>-01/</w:t>
            </w:r>
            <w:r w:rsidR="00476C71">
              <w:rPr>
                <w:rFonts w:ascii="Arial" w:eastAsia="Times New Roman" w:hAnsi="Arial" w:cs="Arial"/>
                <w:sz w:val="20"/>
                <w:szCs w:val="20"/>
                <w:lang w:eastAsia="hr-HR"/>
              </w:rPr>
              <w:t>2</w:t>
            </w:r>
          </w:p>
        </w:tc>
      </w:tr>
      <w:tr w:rsidR="006E6F8D" w:rsidRPr="006E6F8D" w14:paraId="6CFB5A45" w14:textId="77777777" w:rsidTr="006E6F8D">
        <w:trPr>
          <w:trHeight w:val="255"/>
        </w:trPr>
        <w:tc>
          <w:tcPr>
            <w:tcW w:w="7200" w:type="dxa"/>
            <w:tcBorders>
              <w:top w:val="nil"/>
              <w:left w:val="nil"/>
              <w:bottom w:val="nil"/>
              <w:right w:val="nil"/>
            </w:tcBorders>
            <w:noWrap/>
            <w:vAlign w:val="bottom"/>
            <w:hideMark/>
          </w:tcPr>
          <w:p w14:paraId="2A85E051" w14:textId="09BE04DE" w:rsidR="006E6F8D" w:rsidRPr="006E6F8D" w:rsidRDefault="006E6F8D" w:rsidP="006E6F8D">
            <w:pPr>
              <w:spacing w:after="0" w:line="240" w:lineRule="auto"/>
              <w:rPr>
                <w:rFonts w:ascii="Arial" w:eastAsia="Times New Roman" w:hAnsi="Arial" w:cs="Arial"/>
                <w:sz w:val="20"/>
                <w:szCs w:val="20"/>
                <w:lang w:eastAsia="hr-HR"/>
              </w:rPr>
            </w:pPr>
            <w:r w:rsidRPr="006E6F8D">
              <w:rPr>
                <w:rFonts w:ascii="Arial" w:eastAsia="Times New Roman" w:hAnsi="Arial" w:cs="Arial"/>
                <w:sz w:val="20"/>
                <w:szCs w:val="20"/>
                <w:lang w:eastAsia="hr-HR"/>
              </w:rPr>
              <w:t xml:space="preserve">URBROJ: </w:t>
            </w:r>
            <w:r w:rsidRPr="00BA75B7">
              <w:rPr>
                <w:rFonts w:ascii="Arial" w:eastAsia="Times New Roman" w:hAnsi="Arial" w:cs="Arial"/>
                <w:sz w:val="20"/>
                <w:szCs w:val="20"/>
                <w:lang w:eastAsia="hr-HR"/>
              </w:rPr>
              <w:t>2182-02-2</w:t>
            </w:r>
            <w:r w:rsidR="009D7A4B">
              <w:rPr>
                <w:rFonts w:ascii="Arial" w:eastAsia="Times New Roman" w:hAnsi="Arial" w:cs="Arial"/>
                <w:sz w:val="20"/>
                <w:szCs w:val="20"/>
                <w:lang w:eastAsia="hr-HR"/>
              </w:rPr>
              <w:t>6</w:t>
            </w:r>
            <w:r w:rsidRPr="00BA75B7">
              <w:rPr>
                <w:rFonts w:ascii="Arial" w:eastAsia="Times New Roman" w:hAnsi="Arial" w:cs="Arial"/>
                <w:sz w:val="20"/>
                <w:szCs w:val="20"/>
                <w:lang w:eastAsia="hr-HR"/>
              </w:rPr>
              <w:t>-1</w:t>
            </w:r>
          </w:p>
        </w:tc>
      </w:tr>
    </w:tbl>
    <w:p w14:paraId="6E83031A" w14:textId="1372DE08" w:rsidR="0079451F" w:rsidRDefault="006E6F8D" w:rsidP="003D2216">
      <w:pPr>
        <w:pStyle w:val="Bezproreda"/>
        <w:rPr>
          <w:rFonts w:eastAsia="Calibri" w:cstheme="minorHAnsi"/>
        </w:rPr>
      </w:pPr>
      <w:r>
        <w:rPr>
          <w:rFonts w:eastAsia="Calibri" w:cstheme="minorHAnsi"/>
        </w:rPr>
        <w:t xml:space="preserve">  Oklaj, 2</w:t>
      </w:r>
      <w:r w:rsidR="001A6DC1">
        <w:rPr>
          <w:rFonts w:eastAsia="Calibri" w:cstheme="minorHAnsi"/>
        </w:rPr>
        <w:t>3</w:t>
      </w:r>
      <w:r>
        <w:rPr>
          <w:rFonts w:eastAsia="Calibri" w:cstheme="minorHAnsi"/>
        </w:rPr>
        <w:t>.listopada 202</w:t>
      </w:r>
      <w:r w:rsidR="00DB0586">
        <w:rPr>
          <w:rFonts w:eastAsia="Calibri" w:cstheme="minorHAnsi"/>
        </w:rPr>
        <w:t>6</w:t>
      </w:r>
      <w:r>
        <w:rPr>
          <w:rFonts w:eastAsia="Calibri" w:cstheme="minorHAnsi"/>
        </w:rPr>
        <w:t>.g.</w:t>
      </w:r>
    </w:p>
    <w:p w14:paraId="2DD9B85D" w14:textId="77777777" w:rsidR="0079451F" w:rsidRDefault="0079451F" w:rsidP="003D2216">
      <w:pPr>
        <w:pStyle w:val="Bezproreda"/>
        <w:rPr>
          <w:rFonts w:eastAsia="Calibri" w:cstheme="minorHAnsi"/>
          <w:b/>
        </w:rPr>
      </w:pPr>
    </w:p>
    <w:p w14:paraId="5C0A738E" w14:textId="77777777" w:rsidR="0079451F" w:rsidRDefault="0079451F" w:rsidP="003D2216">
      <w:pPr>
        <w:pStyle w:val="Bezproreda"/>
        <w:rPr>
          <w:rFonts w:eastAsia="Calibri" w:cstheme="minorHAnsi"/>
          <w:b/>
        </w:rPr>
      </w:pPr>
    </w:p>
    <w:p w14:paraId="4F64D0B1" w14:textId="77777777" w:rsidR="0079451F" w:rsidRDefault="0079451F" w:rsidP="003D2216">
      <w:pPr>
        <w:pStyle w:val="Bezproreda"/>
        <w:rPr>
          <w:rFonts w:eastAsia="Calibri" w:cstheme="minorHAnsi"/>
          <w:b/>
        </w:rPr>
      </w:pPr>
    </w:p>
    <w:p w14:paraId="17D0EB6B" w14:textId="3D222504" w:rsidR="006E6F8D" w:rsidRPr="006E6F8D" w:rsidRDefault="006E6F8D" w:rsidP="006E6F8D">
      <w:pPr>
        <w:suppressAutoHyphens/>
        <w:autoSpaceDN w:val="0"/>
        <w:spacing w:after="0" w:line="240" w:lineRule="auto"/>
        <w:ind w:left="360"/>
        <w:jc w:val="center"/>
        <w:rPr>
          <w:rFonts w:ascii="Times New Roman" w:eastAsia="Times New Roman" w:hAnsi="Times New Roman" w:cs="Times New Roman"/>
          <w:b/>
          <w:sz w:val="32"/>
          <w:szCs w:val="32"/>
          <w:lang w:eastAsia="hr-HR"/>
        </w:rPr>
      </w:pPr>
      <w:r w:rsidRPr="006E6F8D">
        <w:rPr>
          <w:rFonts w:ascii="Times New Roman" w:eastAsia="Times New Roman" w:hAnsi="Times New Roman" w:cs="Times New Roman"/>
          <w:b/>
          <w:sz w:val="32"/>
          <w:szCs w:val="32"/>
          <w:lang w:eastAsia="hr-HR"/>
        </w:rPr>
        <w:t>UPUTE ZA IZRADU PRIJEDLOGA PRORAČUNA OPĆINE PR</w:t>
      </w:r>
      <w:r>
        <w:rPr>
          <w:rFonts w:ascii="Times New Roman" w:eastAsia="Times New Roman" w:hAnsi="Times New Roman" w:cs="Times New Roman"/>
          <w:b/>
          <w:sz w:val="32"/>
          <w:szCs w:val="32"/>
          <w:lang w:eastAsia="hr-HR"/>
        </w:rPr>
        <w:t>OMINA</w:t>
      </w:r>
    </w:p>
    <w:p w14:paraId="0375739E" w14:textId="2026BAC9" w:rsidR="0079451F" w:rsidRDefault="006E6F8D" w:rsidP="006E6F8D">
      <w:pPr>
        <w:pStyle w:val="Bezproreda"/>
        <w:jc w:val="center"/>
        <w:rPr>
          <w:rFonts w:ascii="Times New Roman" w:eastAsia="Times New Roman" w:hAnsi="Times New Roman" w:cs="Times New Roman"/>
          <w:b/>
          <w:sz w:val="32"/>
          <w:szCs w:val="32"/>
          <w:lang w:eastAsia="hr-HR"/>
        </w:rPr>
      </w:pPr>
      <w:r w:rsidRPr="006E6F8D">
        <w:rPr>
          <w:rFonts w:ascii="Times New Roman" w:eastAsia="Times New Roman" w:hAnsi="Times New Roman" w:cs="Times New Roman"/>
          <w:b/>
          <w:sz w:val="32"/>
          <w:szCs w:val="32"/>
          <w:lang w:eastAsia="hr-HR"/>
        </w:rPr>
        <w:t>ZA RAZDOBLJE 202</w:t>
      </w:r>
      <w:r w:rsidR="00490412">
        <w:rPr>
          <w:rFonts w:ascii="Times New Roman" w:eastAsia="Times New Roman" w:hAnsi="Times New Roman" w:cs="Times New Roman"/>
          <w:b/>
          <w:sz w:val="32"/>
          <w:szCs w:val="32"/>
          <w:lang w:eastAsia="hr-HR"/>
        </w:rPr>
        <w:t>7</w:t>
      </w:r>
      <w:r w:rsidRPr="006E6F8D">
        <w:rPr>
          <w:rFonts w:ascii="Times New Roman" w:eastAsia="Times New Roman" w:hAnsi="Times New Roman" w:cs="Times New Roman"/>
          <w:b/>
          <w:sz w:val="32"/>
          <w:szCs w:val="32"/>
          <w:lang w:eastAsia="hr-HR"/>
        </w:rPr>
        <w:t>. – 202</w:t>
      </w:r>
      <w:r w:rsidR="00490412">
        <w:rPr>
          <w:rFonts w:ascii="Times New Roman" w:eastAsia="Times New Roman" w:hAnsi="Times New Roman" w:cs="Times New Roman"/>
          <w:b/>
          <w:sz w:val="32"/>
          <w:szCs w:val="32"/>
          <w:lang w:eastAsia="hr-HR"/>
        </w:rPr>
        <w:t>9.</w:t>
      </w:r>
    </w:p>
    <w:p w14:paraId="3F29D78A" w14:textId="77777777" w:rsidR="006E6F8D" w:rsidRDefault="006E6F8D" w:rsidP="006E6F8D">
      <w:pPr>
        <w:pStyle w:val="Bezproreda"/>
        <w:jc w:val="center"/>
        <w:rPr>
          <w:rFonts w:eastAsia="Calibri" w:cstheme="minorHAnsi"/>
          <w:b/>
        </w:rPr>
      </w:pPr>
    </w:p>
    <w:p w14:paraId="19C05729" w14:textId="77777777" w:rsidR="0079451F" w:rsidRDefault="0079451F" w:rsidP="003D2216">
      <w:pPr>
        <w:pStyle w:val="Bezproreda"/>
        <w:rPr>
          <w:rFonts w:eastAsia="Calibri" w:cstheme="minorHAnsi"/>
          <w:b/>
        </w:rPr>
      </w:pPr>
    </w:p>
    <w:p w14:paraId="6228D2BA" w14:textId="77777777"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UVOD</w:t>
      </w:r>
    </w:p>
    <w:p w14:paraId="5329213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BEC555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Proračunski proces u Republici Hrvatskoj uređen je odredbama Zakona o proračunu (Narodne </w:t>
      </w:r>
    </w:p>
    <w:p w14:paraId="24EC8EBE" w14:textId="0981D98C"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novine br. 144/21) kako na državnoj tako i na lokalnoj razini. </w:t>
      </w:r>
    </w:p>
    <w:p w14:paraId="222CCA2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B53ACF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Sukladno Zakonu, proračunski proces započinje već u travnju izradom Nacionalnog programa </w:t>
      </w:r>
    </w:p>
    <w:p w14:paraId="441FF43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reformi i Programa konvergencije koji su akti Europskog semestra. Na temelju Programa </w:t>
      </w:r>
    </w:p>
    <w:p w14:paraId="18E8FCC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konvergencije koji obuhvaća okvir i ciljeve ekonomske politike, makroekonomska i fiskalna </w:t>
      </w:r>
    </w:p>
    <w:p w14:paraId="3D3668D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kretanja te ključne strukturne reforme za srednjoročno razdoblje Ministarstvo financija izrađuje </w:t>
      </w:r>
    </w:p>
    <w:p w14:paraId="6B60ADF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odluku o proračunskom okviru za trogodišnje razdoblje koju Vlada usvaja najkasnije do 30. </w:t>
      </w:r>
    </w:p>
    <w:p w14:paraId="76FE967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lipnja tekuće godine. Odluka je podloga za izradu prijedloga državnog proračuna za trogodišnje </w:t>
      </w:r>
    </w:p>
    <w:p w14:paraId="1FE0882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razdoblje koji do 15. studenog treba biti upućen predstavničkom tijelu na usvajanje.  </w:t>
      </w:r>
    </w:p>
    <w:p w14:paraId="03D3864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Temeljem usvojenih akata Vlade Republike Hrvatske, Ministarstvo financija sastavlja Uputu za izradu državnog proračuna i Uputu za izradu proračuna jedinica lokalne i područne (regionalne) samouprave. </w:t>
      </w:r>
    </w:p>
    <w:p w14:paraId="757A73A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75B48345" w14:textId="454B5719"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Temeljem Uputa Ministarstva financija </w:t>
      </w:r>
      <w:r>
        <w:rPr>
          <w:rFonts w:ascii="Times New Roman" w:eastAsia="Times New Roman" w:hAnsi="Times New Roman" w:cs="Times New Roman"/>
          <w:bCs/>
          <w:sz w:val="24"/>
          <w:szCs w:val="24"/>
          <w:lang w:eastAsia="hr-HR"/>
        </w:rPr>
        <w:t>Upravni odjel za proračun, financije, nadzor i javne prihode Općine Promina</w:t>
      </w:r>
      <w:r w:rsidRPr="0079451F">
        <w:rPr>
          <w:rFonts w:ascii="Times New Roman" w:eastAsia="Times New Roman" w:hAnsi="Times New Roman" w:cs="Times New Roman"/>
          <w:bCs/>
          <w:sz w:val="24"/>
          <w:szCs w:val="24"/>
          <w:lang w:eastAsia="hr-HR"/>
        </w:rPr>
        <w:t xml:space="preserve"> izrađuje ove Upute za izradu i dostavu prijedloga plana proračuna i financijskih planova proračunskog korisnika Općine </w:t>
      </w:r>
      <w:r>
        <w:rPr>
          <w:rFonts w:ascii="Times New Roman" w:eastAsia="Times New Roman" w:hAnsi="Times New Roman" w:cs="Times New Roman"/>
          <w:bCs/>
          <w:sz w:val="24"/>
          <w:szCs w:val="24"/>
          <w:lang w:eastAsia="hr-HR"/>
        </w:rPr>
        <w:t>Promina</w:t>
      </w:r>
      <w:r w:rsidRPr="0079451F">
        <w:rPr>
          <w:rFonts w:ascii="Times New Roman" w:eastAsia="Times New Roman" w:hAnsi="Times New Roman" w:cs="Times New Roman"/>
          <w:bCs/>
          <w:sz w:val="24"/>
          <w:szCs w:val="24"/>
          <w:lang w:eastAsia="hr-HR"/>
        </w:rPr>
        <w:t xml:space="preserve"> za razdoblje od 202</w:t>
      </w:r>
      <w:r w:rsidR="00504BB6">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 202</w:t>
      </w:r>
      <w:r w:rsidR="00504BB6">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godine.</w:t>
      </w:r>
    </w:p>
    <w:p w14:paraId="291CDC9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5D96589" w14:textId="77777777" w:rsidR="00504BB6"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 Pri izradi prijedloga financijskog plana proračunski korisnik proračuna Općine </w:t>
      </w:r>
      <w:r>
        <w:rPr>
          <w:rFonts w:ascii="Times New Roman" w:eastAsia="Times New Roman" w:hAnsi="Times New Roman" w:cs="Times New Roman"/>
          <w:bCs/>
          <w:sz w:val="24"/>
          <w:szCs w:val="24"/>
          <w:lang w:eastAsia="hr-HR"/>
        </w:rPr>
        <w:t>Promina</w:t>
      </w:r>
      <w:r w:rsidRPr="0079451F">
        <w:rPr>
          <w:rFonts w:ascii="Times New Roman" w:eastAsia="Times New Roman" w:hAnsi="Times New Roman" w:cs="Times New Roman"/>
          <w:bCs/>
          <w:sz w:val="24"/>
          <w:szCs w:val="24"/>
          <w:lang w:eastAsia="hr-HR"/>
        </w:rPr>
        <w:t xml:space="preserve"> obvezan se pridržavati ovih uputa u skladu s novim Zakonom o proračunu te Pravilnikom o proračunskom računovodstvu i računskom planu. Čelnik proračunskog korisnika odgovoran je za zakonito i pravilno planiranje i izvršavanje financijskog plana i u skladu s određenim limitima.      </w:t>
      </w:r>
    </w:p>
    <w:p w14:paraId="3021D75C" w14:textId="77777777" w:rsidR="00504BB6" w:rsidRDefault="00504BB6"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130A12A4" w14:textId="77777777" w:rsidR="00504BB6" w:rsidRDefault="00504BB6"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3473D55" w14:textId="1D4FA21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                                        </w:t>
      </w:r>
    </w:p>
    <w:p w14:paraId="6F08D3B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40AF44FC" w14:textId="5A7558DB" w:rsid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lastRenderedPageBreak/>
        <w:t xml:space="preserve">TEMELJNE MAKROEKONOMSKE PRETPOSTAVKE ZA IZRADU PRIJEDLOGA PRORAČUNA OPĆINE </w:t>
      </w:r>
      <w:r w:rsidR="006A5D49">
        <w:rPr>
          <w:rFonts w:ascii="Times New Roman" w:eastAsia="Times New Roman" w:hAnsi="Times New Roman" w:cs="Times New Roman"/>
          <w:b/>
          <w:bCs/>
          <w:sz w:val="24"/>
          <w:szCs w:val="24"/>
          <w:lang w:eastAsia="hr-HR"/>
        </w:rPr>
        <w:t>PROMINA</w:t>
      </w:r>
    </w:p>
    <w:p w14:paraId="1EF65D3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6C63403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3F5361B2" w14:textId="7BE0B43B" w:rsidR="0079451F" w:rsidRPr="0079451F" w:rsidRDefault="0079451F" w:rsidP="0079451F">
      <w:pPr>
        <w:suppressAutoHyphens/>
        <w:autoSpaceDN w:val="0"/>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 xml:space="preserve">Temeljem Okvira za ekonomsko upravljanje Europskom unijom koji je stupio na snagu 30. travnja 2024. godine, u studenom 2024. Republika Hrvatska izradila je i dostavila Europskoj komisiji Nacionalni srednjoročni fiskalno-strukturni plan za razdoblje 2025.-2028. </w:t>
      </w:r>
      <w:r w:rsidR="00550C84" w:rsidRPr="00550C84">
        <w:rPr>
          <w:rFonts w:ascii="Times New Roman" w:eastAsia="Calibri" w:hAnsi="Times New Roman" w:cs="Times New Roman"/>
          <w:sz w:val="24"/>
          <w:szCs w:val="24"/>
        </w:rPr>
        <w:t>Važno je istaknuti kako proračun kao provedbeni dokument treba biti usklađen s nacionalnim srednjoročnim fiskalno-strukturnim planom za  četverogodišnje razdoblje.  U svibnju 2026. Republika Hrvatska je izradila drugo godišnje Izvješće o napretku u provedbi Nacionalnog srednjoročnog fiskalno-strukturnog plana Republike Hrvatske (za 2025. i 2026. godinu). Navedeni dokument kao i ekonomski dijalog s relevantnim tijelima Europske unije predstavlja temelj za službenu ocjenu i preporuke Europske komisije u svrhu unapređenja hrvatskog gospodarstva u okviru Proljetnog paketa Europskog semestra objavljenog početkom lipnja 2026.  Vlada Republike Hrvatske je na sjednici 30. lipnja 2026. donijela Odluku o proračunskom okviru za razdoblje 2027.-2029. kojom se određuje proračunski okvir za razdoblje 2027.-2029. kroz utvrđivanje visine rashoda koji se financira iz općih prihoda i primitaka, doprinosa i namjenskih primitaka po razdjelima organizacijske klasifikacije te visine manjka, odnosno viška izvanproračunskih korisnika državnog proračuna za razdoblje 2027.-2029.</w:t>
      </w:r>
    </w:p>
    <w:p w14:paraId="7CD7B6C3" w14:textId="77777777" w:rsidR="0079451F" w:rsidRPr="0079451F" w:rsidRDefault="0079451F" w:rsidP="0079451F">
      <w:pPr>
        <w:suppressAutoHyphens/>
        <w:autoSpaceDN w:val="0"/>
        <w:spacing w:after="0" w:line="240" w:lineRule="auto"/>
        <w:jc w:val="both"/>
        <w:rPr>
          <w:rFonts w:ascii="Times New Roman" w:eastAsia="Calibri" w:hAnsi="Times New Roman" w:cs="Times New Roman"/>
          <w:sz w:val="24"/>
          <w:szCs w:val="24"/>
        </w:rPr>
      </w:pPr>
    </w:p>
    <w:p w14:paraId="7A8B5384" w14:textId="77777777"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IZRADA, PREDLAGANJE I DONOŠENJE PRORAČUNA I FINANCIJSKOG PLANA SUKLADNO ZAKONU O PRORAČUNU</w:t>
      </w:r>
    </w:p>
    <w:p w14:paraId="4E0FF8B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55C692B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3DF7AD28" w14:textId="1F937094" w:rsidR="0079451F" w:rsidRPr="0079451F" w:rsidRDefault="0079451F" w:rsidP="0079451F">
      <w:pPr>
        <w:suppressAutoHyphens/>
        <w:autoSpaceDN w:val="0"/>
        <w:spacing w:after="0" w:line="240" w:lineRule="auto"/>
        <w:ind w:firstLine="360"/>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3.1. Predlaganje i donošenje proračuna i financijskih planova za 202</w:t>
      </w:r>
      <w:r w:rsidR="00504BB6">
        <w:rPr>
          <w:rFonts w:ascii="Times New Roman" w:eastAsia="Times New Roman" w:hAnsi="Times New Roman" w:cs="Times New Roman"/>
          <w:b/>
          <w:sz w:val="24"/>
          <w:szCs w:val="24"/>
          <w:lang w:eastAsia="hr-HR"/>
        </w:rPr>
        <w:t>7</w:t>
      </w:r>
      <w:r w:rsidRPr="0079451F">
        <w:rPr>
          <w:rFonts w:ascii="Times New Roman" w:eastAsia="Times New Roman" w:hAnsi="Times New Roman" w:cs="Times New Roman"/>
          <w:b/>
          <w:sz w:val="24"/>
          <w:szCs w:val="24"/>
          <w:lang w:eastAsia="hr-HR"/>
        </w:rPr>
        <w:t>. godinu i projekcija za 202</w:t>
      </w:r>
      <w:r w:rsidR="00504BB6">
        <w:rPr>
          <w:rFonts w:ascii="Times New Roman" w:eastAsia="Times New Roman" w:hAnsi="Times New Roman" w:cs="Times New Roman"/>
          <w:b/>
          <w:sz w:val="24"/>
          <w:szCs w:val="24"/>
          <w:lang w:eastAsia="hr-HR"/>
        </w:rPr>
        <w:t>8.</w:t>
      </w:r>
      <w:r w:rsidRPr="0079451F">
        <w:rPr>
          <w:rFonts w:ascii="Times New Roman" w:eastAsia="Times New Roman" w:hAnsi="Times New Roman" w:cs="Times New Roman"/>
          <w:b/>
          <w:sz w:val="24"/>
          <w:szCs w:val="24"/>
          <w:lang w:eastAsia="hr-HR"/>
        </w:rPr>
        <w:t>. i 202</w:t>
      </w:r>
      <w:r w:rsidR="00504BB6">
        <w:rPr>
          <w:rFonts w:ascii="Times New Roman" w:eastAsia="Times New Roman" w:hAnsi="Times New Roman" w:cs="Times New Roman"/>
          <w:b/>
          <w:sz w:val="24"/>
          <w:szCs w:val="24"/>
          <w:lang w:eastAsia="hr-HR"/>
        </w:rPr>
        <w:t>9</w:t>
      </w:r>
      <w:r w:rsidRPr="0079451F">
        <w:rPr>
          <w:rFonts w:ascii="Times New Roman" w:eastAsia="Times New Roman" w:hAnsi="Times New Roman" w:cs="Times New Roman"/>
          <w:b/>
          <w:sz w:val="24"/>
          <w:szCs w:val="24"/>
          <w:lang w:eastAsia="hr-HR"/>
        </w:rPr>
        <w:t>. godinu na razini skupine ekonomske klasifikacije</w:t>
      </w:r>
    </w:p>
    <w:p w14:paraId="61BAAB3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5147A5CA" w14:textId="64D34D2A"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sz w:val="24"/>
          <w:szCs w:val="24"/>
          <w:lang w:eastAsia="hr-HR"/>
        </w:rPr>
        <w:t>Sukladno člancima 38., 39. i 42. Zakona o proračunu, proračun jedinice lokalne i područne (regionalne) samouprave, financijski plan proračunskog korisnika te financijski plan izvanproračunskog korisnika usvaja se na razini skupine ekonomske klasifikacije. Slijedom navedenog, jedinice lokalne i područne (regionalne) samouprave, proračunski i izvanproračunski korisnici prihode i primitke, rashode i izdatke za 202</w:t>
      </w:r>
      <w:r w:rsidR="00550C84">
        <w:rPr>
          <w:rFonts w:ascii="Times New Roman" w:eastAsia="Times New Roman" w:hAnsi="Times New Roman" w:cs="Times New Roman"/>
          <w:sz w:val="24"/>
          <w:szCs w:val="24"/>
          <w:lang w:eastAsia="hr-HR"/>
        </w:rPr>
        <w:t>7</w:t>
      </w:r>
      <w:r w:rsidRPr="0079451F">
        <w:rPr>
          <w:rFonts w:ascii="Times New Roman" w:eastAsia="Times New Roman" w:hAnsi="Times New Roman" w:cs="Times New Roman"/>
          <w:sz w:val="24"/>
          <w:szCs w:val="24"/>
          <w:lang w:eastAsia="hr-HR"/>
        </w:rPr>
        <w:t>. godinu iskazuju na razini skupine (druga razina računskog plana) isto kao za 202</w:t>
      </w:r>
      <w:r w:rsidR="00550C84">
        <w:rPr>
          <w:rFonts w:ascii="Times New Roman" w:eastAsia="Times New Roman" w:hAnsi="Times New Roman" w:cs="Times New Roman"/>
          <w:sz w:val="24"/>
          <w:szCs w:val="24"/>
          <w:lang w:eastAsia="hr-HR"/>
        </w:rPr>
        <w:t>8</w:t>
      </w:r>
      <w:r w:rsidRPr="0079451F">
        <w:rPr>
          <w:rFonts w:ascii="Times New Roman" w:eastAsia="Times New Roman" w:hAnsi="Times New Roman" w:cs="Times New Roman"/>
          <w:sz w:val="24"/>
          <w:szCs w:val="24"/>
          <w:lang w:eastAsia="hr-HR"/>
        </w:rPr>
        <w:t>. i 202</w:t>
      </w:r>
      <w:r w:rsidR="00550C84">
        <w:rPr>
          <w:rFonts w:ascii="Times New Roman" w:eastAsia="Times New Roman" w:hAnsi="Times New Roman" w:cs="Times New Roman"/>
          <w:sz w:val="24"/>
          <w:szCs w:val="24"/>
          <w:lang w:eastAsia="hr-HR"/>
        </w:rPr>
        <w:t>9</w:t>
      </w:r>
      <w:r w:rsidRPr="0079451F">
        <w:rPr>
          <w:rFonts w:ascii="Times New Roman" w:eastAsia="Times New Roman" w:hAnsi="Times New Roman" w:cs="Times New Roman"/>
          <w:sz w:val="24"/>
          <w:szCs w:val="24"/>
          <w:lang w:eastAsia="hr-HR"/>
        </w:rPr>
        <w:t xml:space="preserve">. godinu. </w:t>
      </w:r>
    </w:p>
    <w:p w14:paraId="44B0086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304039D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2AF75A00"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3.2. Iskazivanje rashoda u Računu prihoda i rashoda po funkcijskoj klasifikaciji</w:t>
      </w:r>
    </w:p>
    <w:p w14:paraId="6E447FA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54E0FDD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Zakonom o proračunu u članku 29. propisano je da jedinice lokalne i područne (regionalne) samouprave u Općem dijelu proračuna u Računu prihoda i rashoda, rashode iskazuju i prema funkcijskoj klasifikaciji. Ista obveza propisana je i proračunskim i izvanproračunskim korisnicima koji sukladno članku 34. Zakona o proračunu u Općem dijelu financijskog plana u računu prihoda i rashoda, rashode proračunskog korisnika trebaju iskazivati i prema funkcijskoj klasifikaciji. </w:t>
      </w:r>
    </w:p>
    <w:p w14:paraId="5677A794" w14:textId="77777777" w:rsid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5D5212E1" w14:textId="77777777" w:rsidR="00504BB6"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E95D6B7" w14:textId="77777777" w:rsidR="00504BB6"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EF85883" w14:textId="77777777" w:rsidR="00504BB6" w:rsidRPr="0079451F"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764BD9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7ECB42F7"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lastRenderedPageBreak/>
        <w:t>3.3. Sažetak Računa prihoda i rashoda te sažetak Računa financiranja u Općem dijelu proračuna i financijskog plana</w:t>
      </w:r>
    </w:p>
    <w:p w14:paraId="56D5058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4540DE6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 članku 29. i u članku 34. Zakon o proračunu propisuje se da Opći dio proračuna, odnosno Opći dio financijskog plana proračunskog i izvanproračunskog korisnika obvezno sadrži i sažetak Računa prihoda i rashoda te sažetak Računa financiranja. U skladu s navedenim, jedinice lokalne i područne (regionalne) samouprave te njihovi proračunski i izvanproračunski korisnici u obvezi su u ovom proračunskom ciklusu planiranja pripremiti navedene sažetke.</w:t>
      </w:r>
    </w:p>
    <w:p w14:paraId="64A2277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3BD18DC0"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3.4. Zakonska obveza izrade višegodišnjeg plana uravnoteženja </w:t>
      </w:r>
    </w:p>
    <w:p w14:paraId="7137C01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2D0F4D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Člankom 37. Zakona o proračunu propisano je ako jedinica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Isto tako ako jedinica lokalne i regionalne (područne) samouprave i njihovi proračunski i izvanproračunski korisnici ne mogu preneseni višak, zbog njegove veličine, u cijelosti iskoristiti u jednoj proračunskoj godini, korištenje viška planira se višegodišnjim planom uravnoteženja za razdoblje za koje se proračun, odnosno financijski plan donosi. </w:t>
      </w:r>
    </w:p>
    <w:p w14:paraId="254CD44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F77DC1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4444A36"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3.5. Usvajanje prijedloga financijskog plana od strane upravljačkih tijela u proračunskim i izvanproračunskim korisnicima</w:t>
      </w:r>
    </w:p>
    <w:p w14:paraId="4ADFAEE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245404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Člankom 38. stavkom 2. i člankom 39. stavkom 2. Zakona o proračunu propisano je da čelnik proračunskog i izvanproračunskog korisnika prije dostave prijedloga financijskog plana nadležnom upravnom tijelu, obavezan isti uputiti i svom upravljačkom tijelu na usvajanje. Zakonom o proračunu ja dalje uređeno da ako postoje razlike u financijskom planu proračunskog i izvanproračunskog korisnika sadržanom u proračunu koji je usvojilo predstavničko tijelo u odnosu na već usvojeni prijedlog financijskog plana od strane njegovog upravljačkog tijela, upravljačko tijelo usvaja financijski plan koji je sadržan u proračunu koji je usvojilo predstavničko tijelo. Ako postoje razlike u financijskom planu proračunskog i izvanproračunskog korisnika na koje je predstavničko tijelo dalo suglasnost u odnosu na već usvojeni prijedlog financijsko plana od strane upravljačkog tijela, upravljačko tijelo usvaja financijski plan na koji je predstavničko tijelo dalo suglasnost.</w:t>
      </w:r>
    </w:p>
    <w:p w14:paraId="35C01A1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25B5E1F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4DA98F26"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3.6. Obrazloženje - sastavni dio proračuna i financijskog plana</w:t>
      </w:r>
    </w:p>
    <w:p w14:paraId="7CE5924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E296FBC" w14:textId="77777777" w:rsidR="0079451F" w:rsidRPr="0079451F" w:rsidRDefault="0079451F" w:rsidP="0079451F">
      <w:pPr>
        <w:spacing w:after="0" w:line="240" w:lineRule="auto"/>
        <w:jc w:val="both"/>
        <w:rPr>
          <w:rFonts w:ascii="CIDFont+F3" w:eastAsia="SimSun" w:hAnsi="CIDFont+F3" w:cs="Mangal" w:hint="eastAsia"/>
          <w:color w:val="000000"/>
          <w:kern w:val="1"/>
          <w:sz w:val="24"/>
          <w:lang w:eastAsia="hi-IN" w:bidi="hi-IN"/>
        </w:rPr>
      </w:pPr>
      <w:r w:rsidRPr="0079451F">
        <w:rPr>
          <w:rFonts w:ascii="CIDFont+F3" w:eastAsia="SimSun" w:hAnsi="CIDFont+F3" w:cs="Mangal"/>
          <w:color w:val="000000"/>
          <w:kern w:val="1"/>
          <w:sz w:val="24"/>
          <w:lang w:eastAsia="hi-IN" w:bidi="hi-IN"/>
        </w:rPr>
        <w:t>Sukladno članku 31. Zakona o proračunu, obrazloženje je sastavni dio proračuna kako na</w:t>
      </w:r>
      <w:r w:rsidRPr="0079451F">
        <w:rPr>
          <w:rFonts w:ascii="CIDFont+F3" w:eastAsia="SimSun" w:hAnsi="CIDFont+F3" w:cs="Mangal"/>
          <w:color w:val="000000"/>
          <w:kern w:val="1"/>
          <w:sz w:val="24"/>
          <w:szCs w:val="24"/>
          <w:lang w:eastAsia="hi-IN" w:bidi="hi-IN"/>
        </w:rPr>
        <w:br/>
      </w:r>
      <w:r w:rsidRPr="0079451F">
        <w:rPr>
          <w:rFonts w:ascii="CIDFont+F3" w:eastAsia="SimSun" w:hAnsi="CIDFont+F3" w:cs="Mangal"/>
          <w:color w:val="000000"/>
          <w:kern w:val="1"/>
          <w:sz w:val="24"/>
          <w:lang w:eastAsia="hi-IN" w:bidi="hi-IN"/>
        </w:rPr>
        <w:t>državnoj tako i na razini jedinica lokalne i područne (regionalne) samouprave, a sastoji se od</w:t>
      </w:r>
      <w:r w:rsidRPr="0079451F">
        <w:rPr>
          <w:rFonts w:ascii="CIDFont+F3" w:eastAsia="SimSun" w:hAnsi="CIDFont+F3" w:cs="Mangal"/>
          <w:color w:val="000000"/>
          <w:kern w:val="1"/>
          <w:sz w:val="24"/>
          <w:szCs w:val="24"/>
          <w:lang w:eastAsia="hi-IN" w:bidi="hi-IN"/>
        </w:rPr>
        <w:br/>
      </w:r>
      <w:r w:rsidRPr="0079451F">
        <w:rPr>
          <w:rFonts w:ascii="CIDFont+F3" w:eastAsia="SimSun" w:hAnsi="CIDFont+F3" w:cs="Mangal"/>
          <w:color w:val="000000"/>
          <w:kern w:val="1"/>
          <w:sz w:val="24"/>
          <w:lang w:eastAsia="hi-IN" w:bidi="hi-IN"/>
        </w:rPr>
        <w:t xml:space="preserve">obrazloženja općeg dijela proračuna i obrazloženja posebnog dijela proračuna. </w:t>
      </w:r>
    </w:p>
    <w:p w14:paraId="66B02CC7" w14:textId="77777777" w:rsidR="0079451F" w:rsidRPr="0079451F" w:rsidRDefault="0079451F" w:rsidP="0079451F">
      <w:pPr>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Obrazloženje općeg dijela proračuna jedinica lokalne područne (regionalne) samouprave sukladnom odredbama novog Zakona o proračunu sadrži: obrazloženje prihoda i rashoda, primitaka i izdataka proračuna jedinica lokalne i područne (regionalne)  samouprave, obrazloženje prenesenog manjka odnosno viška proračuna jedinice područne (regionalne) samouprave. Obrazloženje posebnog dijela proračuna temelji se na obrazloženju financijskih planova proračunskih korisnika, a sastoji se od obrazloženja programa koje se daje kroz obrazloženje aktivnosti i projekata zajedno s ciljevima i pokazateljima uspješnosti iz akta strateškog planiranja.</w:t>
      </w:r>
    </w:p>
    <w:p w14:paraId="0FB2B1F3" w14:textId="77777777" w:rsidR="0079451F" w:rsidRPr="0079451F" w:rsidRDefault="0079451F" w:rsidP="0079451F">
      <w:pPr>
        <w:spacing w:after="0" w:line="240" w:lineRule="auto"/>
        <w:jc w:val="both"/>
        <w:rPr>
          <w:rFonts w:ascii="CIDFont+F3" w:eastAsia="SimSun" w:hAnsi="CIDFont+F3" w:cs="Mangal" w:hint="eastAsia"/>
          <w:color w:val="000000"/>
          <w:kern w:val="1"/>
          <w:sz w:val="24"/>
          <w:lang w:eastAsia="hi-IN" w:bidi="hi-IN"/>
        </w:rPr>
      </w:pPr>
    </w:p>
    <w:p w14:paraId="55618115" w14:textId="77777777" w:rsidR="0079451F" w:rsidRPr="0079451F" w:rsidRDefault="0079451F" w:rsidP="0079451F">
      <w:pPr>
        <w:spacing w:after="0" w:line="240" w:lineRule="auto"/>
        <w:jc w:val="both"/>
        <w:rPr>
          <w:rFonts w:ascii="CIDFont+F3" w:eastAsia="SimSun" w:hAnsi="CIDFont+F3" w:cs="Mangal" w:hint="eastAsia"/>
          <w:color w:val="000000"/>
          <w:kern w:val="1"/>
          <w:sz w:val="24"/>
          <w:lang w:eastAsia="hi-IN" w:bidi="hi-IN"/>
        </w:rPr>
      </w:pPr>
      <w:r w:rsidRPr="0079451F">
        <w:rPr>
          <w:rFonts w:ascii="CIDFont+F3" w:eastAsia="SimSun" w:hAnsi="CIDFont+F3" w:cs="Mangal"/>
          <w:color w:val="000000"/>
          <w:kern w:val="1"/>
          <w:sz w:val="24"/>
          <w:lang w:eastAsia="hi-IN" w:bidi="hi-IN"/>
        </w:rPr>
        <w:t>Člankom 36. Zakona propisana je obveza i proračunskim i izvanproračunskim korisnicima za izradu obrazloženja, i to obrazloženje uz opći dio financijskog plana i obrazloženje uz posebni dio</w:t>
      </w:r>
      <w:r w:rsidRPr="0079451F">
        <w:rPr>
          <w:rFonts w:ascii="CIDFont+F3" w:eastAsia="SimSun" w:hAnsi="CIDFont+F3" w:cs="Mangal"/>
          <w:color w:val="000000"/>
          <w:kern w:val="1"/>
          <w:sz w:val="24"/>
          <w:szCs w:val="24"/>
          <w:lang w:eastAsia="hi-IN" w:bidi="hi-IN"/>
        </w:rPr>
        <w:t xml:space="preserve"> </w:t>
      </w:r>
      <w:r w:rsidRPr="0079451F">
        <w:rPr>
          <w:rFonts w:ascii="CIDFont+F3" w:eastAsia="SimSun" w:hAnsi="CIDFont+F3" w:cs="Mangal"/>
          <w:color w:val="000000"/>
          <w:kern w:val="1"/>
          <w:sz w:val="24"/>
          <w:lang w:eastAsia="hi-IN" w:bidi="hi-IN"/>
        </w:rPr>
        <w:t>financijskog plana.</w:t>
      </w:r>
    </w:p>
    <w:p w14:paraId="18A1D94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EAAD13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4A2967E0"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3.7. Predlaganje amandmana na proračun jedinice lokalne i područne (regionalne) samouprave i financijskih planova proračunskih i izvanproračunskih korisnika</w:t>
      </w:r>
    </w:p>
    <w:p w14:paraId="3182D2F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2E5333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Novosti su da je člankom 41. Zakona o proračunu detaljno uređeno predlaganje amandmana na način da se mogu podnositi amandmani kojima se predlaže:</w:t>
      </w:r>
    </w:p>
    <w:p w14:paraId="2DEA8FC3" w14:textId="77777777" w:rsidR="0079451F" w:rsidRPr="0079451F" w:rsidRDefault="0079451F" w:rsidP="0079451F">
      <w:pPr>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 xml:space="preserve">- povećanje proračunskih rashoda iznad iznosa utvrđenih prijedlogom proračuna jedinice lokalne i područne (regionalne) samouprave i financijskim planom izvanproračunskog korisnika jedinice lokalne i područne (regionalne) samouprave pod uvjetom da se istodobno predloži smanjenje drugih rashoda u istom iznosu i unutar istih izvora financiranja u posebnom dijelu proračuna ili financijskog plana </w:t>
      </w:r>
    </w:p>
    <w:p w14:paraId="1A99E9F6" w14:textId="77777777" w:rsidR="0079451F" w:rsidRPr="0079451F" w:rsidRDefault="0079451F" w:rsidP="0079451F">
      <w:pPr>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 xml:space="preserve">- povećanje proračunskih izdataka iznad iznosa utvrđenih prijedlogom proračuna jedinice lokalne i područne (regionalne) samouprave i financijskim planom izvanproračunskog korisnika jedinice lokalne i područne (regionalne) samouprave pod uvjetom da se istodobno predloži smanjenje drugih izdataka u istom iznosu i unutar istih izvora financiranja u posebnom dijelu proračuna ili financijskog plana. </w:t>
      </w:r>
    </w:p>
    <w:p w14:paraId="1DB13CBD" w14:textId="77777777" w:rsidR="0079451F" w:rsidRPr="0079451F" w:rsidRDefault="0079451F" w:rsidP="0079451F">
      <w:pPr>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Navedenim se osigurava da prijedlozi amandmana ne smiju mijenjati predviđeni manjak, odnosno višak utvrđen u prijedlogu proračuna, donosno financijskim planom. Kao i po starom zakonu o proračunu novima Zakonom o proračunu propisano je da prijedlozi amandmana na proračun jedinice lokalne i područne (regionalne) samouprave ne smiju biti na teret proračunske zalihe, na teret dodatnog zaduženja ili već prije preuzetih obveza.</w:t>
      </w:r>
    </w:p>
    <w:p w14:paraId="3373E53E" w14:textId="77777777" w:rsidR="0079451F" w:rsidRPr="0079451F" w:rsidRDefault="0079451F" w:rsidP="0079451F">
      <w:pPr>
        <w:spacing w:after="0" w:line="240" w:lineRule="auto"/>
        <w:jc w:val="both"/>
        <w:rPr>
          <w:rFonts w:ascii="Times New Roman" w:eastAsia="Calibri" w:hAnsi="Times New Roman" w:cs="Times New Roman"/>
          <w:sz w:val="24"/>
          <w:szCs w:val="24"/>
        </w:rPr>
      </w:pPr>
    </w:p>
    <w:p w14:paraId="002E596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D28DB7A" w14:textId="77777777" w:rsidR="0079451F" w:rsidRPr="0079451F" w:rsidRDefault="0079451F" w:rsidP="0079451F">
      <w:pPr>
        <w:suppressAutoHyphens/>
        <w:autoSpaceDN w:val="0"/>
        <w:spacing w:after="0" w:line="240" w:lineRule="auto"/>
        <w:ind w:firstLine="708"/>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3.8. Transparentnost proračuna</w:t>
      </w:r>
    </w:p>
    <w:p w14:paraId="737891F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738587BD" w14:textId="69867379"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Zakonom o proračunu propisana je obveza objave proračuna i financijskih planova i ostale dokumentacije na mrežnim stranicama jedinice lokalne i područne (regionalne) samouprave i proračunskih i izvanproračunskih korisnika. U cilju transparentnosti i slobodnog pristupa informacijama kao i njihovom povezivanju, preuzimanju i ponovnom korištenju materijali vezani uz proračun i njegove izmjene objavljuju se u formatu pogodnom za daljnju obradu (word</w:t>
      </w:r>
      <w:r>
        <w:rPr>
          <w:rFonts w:ascii="Times New Roman" w:eastAsia="Times New Roman" w:hAnsi="Times New Roman" w:cs="Times New Roman"/>
          <w:sz w:val="24"/>
          <w:szCs w:val="24"/>
          <w:lang w:eastAsia="hr-HR"/>
        </w:rPr>
        <w:t xml:space="preserve">, </w:t>
      </w:r>
      <w:proofErr w:type="spellStart"/>
      <w:r w:rsidRPr="0079451F">
        <w:rPr>
          <w:rFonts w:ascii="Times New Roman" w:eastAsia="Times New Roman" w:hAnsi="Times New Roman" w:cs="Times New Roman"/>
          <w:sz w:val="24"/>
          <w:szCs w:val="24"/>
          <w:lang w:eastAsia="hr-HR"/>
        </w:rPr>
        <w:t>excel</w:t>
      </w:r>
      <w:proofErr w:type="spellEnd"/>
      <w:r>
        <w:rPr>
          <w:rFonts w:ascii="Times New Roman" w:eastAsia="Times New Roman" w:hAnsi="Times New Roman" w:cs="Times New Roman"/>
          <w:sz w:val="24"/>
          <w:szCs w:val="24"/>
          <w:lang w:eastAsia="hr-HR"/>
        </w:rPr>
        <w:t>, pdf</w:t>
      </w:r>
      <w:r w:rsidRPr="0079451F">
        <w:rPr>
          <w:rFonts w:ascii="Times New Roman" w:eastAsia="Times New Roman" w:hAnsi="Times New Roman" w:cs="Times New Roman"/>
          <w:sz w:val="24"/>
          <w:szCs w:val="24"/>
          <w:lang w:eastAsia="hr-HR"/>
        </w:rPr>
        <w:t>).</w:t>
      </w:r>
    </w:p>
    <w:p w14:paraId="64B563DB" w14:textId="77777777" w:rsidR="0079451F" w:rsidRPr="0079451F" w:rsidRDefault="0079451F" w:rsidP="0079451F">
      <w:pPr>
        <w:suppressAutoHyphens/>
        <w:autoSpaceDN w:val="0"/>
        <w:spacing w:after="0" w:line="240" w:lineRule="auto"/>
        <w:rPr>
          <w:rFonts w:ascii="CIDFont+F3" w:eastAsia="Times New Roman" w:hAnsi="CIDFont+F3" w:cs="Times New Roman"/>
          <w:color w:val="000000"/>
          <w:sz w:val="24"/>
          <w:szCs w:val="24"/>
          <w:lang w:eastAsia="hr-HR"/>
        </w:rPr>
      </w:pPr>
    </w:p>
    <w:p w14:paraId="1DC4AEB0" w14:textId="77777777" w:rsidR="0079451F" w:rsidRPr="0079451F" w:rsidRDefault="0079451F" w:rsidP="0079451F">
      <w:pPr>
        <w:suppressAutoHyphens/>
        <w:autoSpaceDN w:val="0"/>
        <w:spacing w:after="0" w:line="240" w:lineRule="auto"/>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Sukladno odredbama  članka 144. Zakona o proračunu u nastavku navodimo sve obveze vezane uz transparentnost:</w:t>
      </w:r>
    </w:p>
    <w:p w14:paraId="1D6E5F85"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Proračun i izmjene i dopune proračuna, odluka o privremenom financiranju, odluka i izmjene i dopune odluke o izvršavanju proračuna jedinica lokalne i područne (regionalne) samouprave, financijski planovi i izmjene i dopune financijskih planova izvanproračunskih korisnika, polugodišnji i godišnji izvještaj o izvršenju proračuna te polugodišnji i godišnji izvještaj o izvršenju financijskog plana izvanproračunskog korisnika objavljuju se na mrežnim stranicama jedinica lokalne i područne (regionalne) samouprave i izvanproračunskog korisnika.</w:t>
      </w:r>
    </w:p>
    <w:p w14:paraId="2E533308"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Financijski plan i izmjene i dopune financijskog plana, polugodišnji i godišnji izvještaj o izvršenju financijskog plana proračunskog korisnika objavljuje se na njegovim mrežnim stranicama, odnosno na mrežnim stranicama jedinica lokalne i područne (regionalne) samouprave ako proračunski korisnik nema svoje mrežne stranice, </w:t>
      </w:r>
    </w:p>
    <w:p w14:paraId="48D978D9"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lastRenderedPageBreak/>
        <w:t xml:space="preserve">• Opći i posebni dio proračuna, odluka o izvršavanju proračuna jedinica lokalne i područne (regionalne) samouprave, izmjene i dopune proračuna te izmjene i dopune odluke o izvršavanju proračuna, odluka o privremenom financiranju te opći i posebni dio polugodišnjeg i godišnjeg izvještaja o izvršenju proračuna objavljuju se u službenom glasilu jedinica lokalne i područne (regionalne) samouprave, </w:t>
      </w:r>
    </w:p>
    <w:p w14:paraId="59FDE67C"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Opći i posebni dio polugodišnjeg i godišnjeg izvještaja o izvršenju financijskog plana izvanproračunskog korisnika objavljuju se u službenom glasilu jedinica lokalne i područne (regionalne) samouprave, </w:t>
      </w:r>
    </w:p>
    <w:p w14:paraId="7C801216"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Vodič za građane o proračunu, izmjenama i dopunama proračuna te polugodišnjem i godišnjem izvještaju o izvršenju proračuna objavljuje se na mrežnim stranicama jedinica lokalne i područne (regionalne) samouprave. </w:t>
      </w:r>
    </w:p>
    <w:p w14:paraId="5842DD89"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p>
    <w:p w14:paraId="1839C13D"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U skladu sa dosadašnjom praksom, a vezano za transparentnost proračuna, Ministarstvo financija i dalje preporuča jedinicama lokalne i područne (regionalne) samouprave da na svojim mrežnim stranicama: </w:t>
      </w:r>
    </w:p>
    <w:p w14:paraId="7AB70D49"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p>
    <w:p w14:paraId="5B859856"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sve ključne proračunske dokumente (a posebice prijedlog proračuna, izglasani proračun, izmjene i dopune proračuna, proračunski vodič, polugodišnji i godišnji izvještaji o izvršenju proračuna) objavljuju u jedinstvenom folderu nazvanom PRORAČUN, na kojeg postoji direktan link s naslovne stranice, </w:t>
      </w:r>
    </w:p>
    <w:p w14:paraId="2F320DF5"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pri objavi prijedloga proračuna, izglasanog proračuna te izmjena i dopuna proračuna objavljuju kompletan sadržaj tih proračunskih dokumenata (opći i posebni dio proračuna), </w:t>
      </w:r>
    </w:p>
    <w:p w14:paraId="2E4E4D5E"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xml:space="preserve">• usvojeni proračuni objavljuju, sukladno odredbama Zakona o proračunu, za proračunsku godinu i za sljedeće dvije godine na drugoj razini računskoga plana (na razini skupine) i </w:t>
      </w:r>
    </w:p>
    <w:p w14:paraId="0CFACF11" w14:textId="77777777"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 proračunske vodiče za građane, na zahtjev građana, distribuiraju građanima svake godine u obliku brošure (fizičke i elektroničke), o trošku proračuna.</w:t>
      </w:r>
    </w:p>
    <w:p w14:paraId="0CE67055" w14:textId="2A9B461F"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Zakonom o lokalnoj i područnoj (regionalnoj) samoupravi propisano je da su općina, grad i županija dužne na svojim mrežnim stranicama javno objaviti informacije o trošenju proračunskih sredstava tako da te informacije budu lako dostupne i pretraživ</w:t>
      </w:r>
      <w:r>
        <w:rPr>
          <w:rFonts w:ascii="CIDFont+F3" w:eastAsia="Times New Roman" w:hAnsi="CIDFont+F3" w:cs="Times New Roman"/>
          <w:color w:val="000000"/>
          <w:sz w:val="24"/>
          <w:szCs w:val="24"/>
          <w:lang w:eastAsia="hr-HR"/>
        </w:rPr>
        <w:t>an</w:t>
      </w:r>
      <w:r w:rsidRPr="0079451F">
        <w:rPr>
          <w:rFonts w:ascii="CIDFont+F3" w:eastAsia="Times New Roman" w:hAnsi="CIDFont+F3" w:cs="Times New Roman"/>
          <w:color w:val="000000"/>
          <w:sz w:val="24"/>
          <w:szCs w:val="24"/>
          <w:lang w:eastAsia="hr-HR"/>
        </w:rPr>
        <w:t>e. Zakonom o proračunu također je propisano da su jedinice lokalne i područne (regionalne) samouprave, proračunski i izvanproračunski korisnici dužni javno objavljivati informacije o trošenju sredstava na svojim mrežnim stranicama na način da te informacije budu lako dostupne, pretraživ</w:t>
      </w:r>
      <w:r>
        <w:rPr>
          <w:rFonts w:ascii="CIDFont+F3" w:eastAsia="Times New Roman" w:hAnsi="CIDFont+F3" w:cs="Times New Roman"/>
          <w:color w:val="000000"/>
          <w:sz w:val="24"/>
          <w:szCs w:val="24"/>
          <w:lang w:eastAsia="hr-HR"/>
        </w:rPr>
        <w:t>an</w:t>
      </w:r>
      <w:r w:rsidRPr="0079451F">
        <w:rPr>
          <w:rFonts w:ascii="CIDFont+F3" w:eastAsia="Times New Roman" w:hAnsi="CIDFont+F3" w:cs="Times New Roman"/>
          <w:color w:val="000000"/>
          <w:sz w:val="24"/>
          <w:szCs w:val="24"/>
          <w:lang w:eastAsia="hr-HR"/>
        </w:rPr>
        <w:t>e i strojno čitljive.</w:t>
      </w:r>
    </w:p>
    <w:p w14:paraId="5E1D76DD" w14:textId="77777777" w:rsidR="0079451F" w:rsidRDefault="0079451F" w:rsidP="003D2216">
      <w:pPr>
        <w:pStyle w:val="Bezproreda"/>
        <w:rPr>
          <w:rFonts w:eastAsia="Calibri" w:cstheme="minorHAnsi"/>
          <w:b/>
        </w:rPr>
      </w:pPr>
    </w:p>
    <w:p w14:paraId="599BB317" w14:textId="77777777" w:rsidR="0079451F" w:rsidRDefault="0079451F" w:rsidP="003D2216">
      <w:pPr>
        <w:pStyle w:val="Bezproreda"/>
        <w:rPr>
          <w:rFonts w:eastAsia="Calibri" w:cstheme="minorHAnsi"/>
          <w:b/>
        </w:rPr>
      </w:pPr>
    </w:p>
    <w:p w14:paraId="4ACDFEB2" w14:textId="096B4F06"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 xml:space="preserve">METODOLOGIJA IZRADE PRIJEDLOGA PRORAČUNA OPĆINE </w:t>
      </w:r>
      <w:r>
        <w:rPr>
          <w:rFonts w:ascii="Times New Roman" w:eastAsia="Times New Roman" w:hAnsi="Times New Roman" w:cs="Times New Roman"/>
          <w:b/>
          <w:sz w:val="24"/>
          <w:szCs w:val="24"/>
          <w:lang w:eastAsia="hr-HR"/>
        </w:rPr>
        <w:t>PROMINA</w:t>
      </w:r>
    </w:p>
    <w:p w14:paraId="5BB0DAAA" w14:textId="77777777" w:rsidR="0079451F" w:rsidRPr="0079451F" w:rsidRDefault="0079451F" w:rsidP="0079451F">
      <w:pPr>
        <w:suppressAutoHyphens/>
        <w:autoSpaceDN w:val="0"/>
        <w:spacing w:after="0" w:line="240" w:lineRule="auto"/>
        <w:ind w:left="360"/>
        <w:jc w:val="both"/>
        <w:rPr>
          <w:rFonts w:ascii="Times New Roman" w:eastAsia="Times New Roman" w:hAnsi="Times New Roman" w:cs="Times New Roman"/>
          <w:sz w:val="24"/>
          <w:szCs w:val="24"/>
          <w:lang w:eastAsia="hr-HR"/>
        </w:rPr>
      </w:pPr>
    </w:p>
    <w:p w14:paraId="2AC18A1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Metodologija izrade proračuna propisana je Zakonom o proračunu  i podzakonskim aktima: Pravilnikom o proračunskim klasifikacijama i Pravilnikom o proračunskom računovodstvu i Računskom planu kojima se regulira provedba navedenog Zakona.</w:t>
      </w:r>
    </w:p>
    <w:p w14:paraId="5DDB887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A103871" w14:textId="505A257A" w:rsidR="0079451F" w:rsidRPr="0079451F" w:rsidRDefault="0079451F" w:rsidP="0079451F">
      <w:pPr>
        <w:spacing w:after="0" w:line="240" w:lineRule="auto"/>
        <w:jc w:val="both"/>
        <w:rPr>
          <w:rFonts w:ascii="Times New Roman" w:eastAsia="Calibri" w:hAnsi="Times New Roman" w:cs="Times New Roman"/>
          <w:sz w:val="24"/>
          <w:szCs w:val="24"/>
        </w:rPr>
      </w:pPr>
      <w:r w:rsidRPr="0079451F">
        <w:rPr>
          <w:rFonts w:ascii="Times New Roman" w:eastAsia="Calibri" w:hAnsi="Times New Roman" w:cs="Times New Roman"/>
          <w:sz w:val="24"/>
          <w:szCs w:val="24"/>
        </w:rPr>
        <w:t>Proračunski korisnik Općine Pr</w:t>
      </w:r>
      <w:r>
        <w:rPr>
          <w:rFonts w:ascii="Times New Roman" w:eastAsia="Calibri" w:hAnsi="Times New Roman" w:cs="Times New Roman"/>
          <w:sz w:val="24"/>
          <w:szCs w:val="24"/>
        </w:rPr>
        <w:t>omina</w:t>
      </w:r>
      <w:r w:rsidRPr="0079451F">
        <w:rPr>
          <w:rFonts w:ascii="Times New Roman" w:eastAsia="Calibri" w:hAnsi="Times New Roman" w:cs="Times New Roman"/>
          <w:sz w:val="24"/>
          <w:szCs w:val="24"/>
        </w:rPr>
        <w:t xml:space="preserve"> obvezan je izrađivati financijske planove u skladu s odredbama Zakona o proračunu (Narodne novine br. 144/21), Pravilnik o planiranju u sustavu proračuna (Narodne novine br. 1/24),Pravilnika o proračunskim klasifikacijama (Narodne novine, br. 4/24 i 122/25), Pravilnika o proračunskom računovodstvu i Računskom planu (Narodne novine, br. 158/23 i 154/24) i Pravilnika o korištenju sredstava Europske unije (Narodne novine, br. 44/24) te se pridržavati ovih Uputa.</w:t>
      </w:r>
    </w:p>
    <w:p w14:paraId="6B522BC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A6569B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lastRenderedPageBreak/>
        <w:t>Obvezno je uključivanje svih prihoda i primitaka, rashoda i izdataka proračunskih korisnika u proračun jedinice lokalne samouprave, sukladno ekonomskoj, programskoj, funkcijskoj, organizacijskoj, lokacijskoj klasifikaciji te izvorima financiranja. Svi vlastiti i namjenski prihodi proračunskog korisnika su dio općinskog proračuna, ali nisu dio novčanog tijeka općinskog proračuna.</w:t>
      </w:r>
    </w:p>
    <w:p w14:paraId="2F96AE1D" w14:textId="17088FBB"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Odlukom o izvršavanju proračuna Općine Pr</w:t>
      </w:r>
      <w:r>
        <w:rPr>
          <w:rFonts w:ascii="Times New Roman" w:eastAsia="Times New Roman" w:hAnsi="Times New Roman" w:cs="Times New Roman"/>
          <w:sz w:val="24"/>
          <w:szCs w:val="24"/>
          <w:lang w:eastAsia="hr-HR"/>
        </w:rPr>
        <w:t>omina</w:t>
      </w:r>
      <w:r w:rsidRPr="0079451F">
        <w:rPr>
          <w:rFonts w:ascii="Times New Roman" w:eastAsia="Times New Roman" w:hAnsi="Times New Roman" w:cs="Times New Roman"/>
          <w:sz w:val="24"/>
          <w:szCs w:val="24"/>
          <w:lang w:eastAsia="hr-HR"/>
        </w:rPr>
        <w:t xml:space="preserve"> propisano je izuzeće od obveze uplate namjenskih i vlastitih prihoda korisnika u proračun Općine. Iz navedenog proizlazi obveza uključivanja svih prihoda i primitaka, rashoda i izdataka proračunskog korisnika u proračun jedinice lokalne i područne (regionalne) samouprave, sukladno ekonomskoj, programskoj, funkcijskoj, organizacijskoj, lokacijskoj klasifikaciji i izvorima financiranja.</w:t>
      </w:r>
    </w:p>
    <w:p w14:paraId="42A24D5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77D4B3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CBC0DB8" w14:textId="798A0E8F"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 Sadržaj proračuna Općine </w:t>
      </w:r>
      <w:r>
        <w:rPr>
          <w:rFonts w:ascii="Times New Roman" w:eastAsia="Times New Roman" w:hAnsi="Times New Roman" w:cs="Times New Roman"/>
          <w:b/>
          <w:sz w:val="24"/>
          <w:szCs w:val="24"/>
          <w:lang w:eastAsia="hr-HR"/>
        </w:rPr>
        <w:t>Promina</w:t>
      </w:r>
    </w:p>
    <w:p w14:paraId="65672C4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21A70D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Proračun jedinice lokalne i područne(regionalne) samouprave sastoji se od plana za proračunsku godinu i projekcija za slijedeće dvije godine.</w:t>
      </w:r>
    </w:p>
    <w:p w14:paraId="0B68BCA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C1A41D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Sastavi dijelovi općeg dijela proračuna su:</w:t>
      </w:r>
    </w:p>
    <w:p w14:paraId="265D840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C9F5BC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Opći dio proračuna</w:t>
      </w:r>
    </w:p>
    <w:p w14:paraId="3890F3E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BEAB71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Sastavni dijelovi Općeg dijela proračuna su:</w:t>
      </w:r>
    </w:p>
    <w:p w14:paraId="667DFD8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Sažetak računa prihoda i rashoda i sažetak Računa financiranja</w:t>
      </w:r>
      <w:r w:rsidRPr="0079451F">
        <w:rPr>
          <w:rFonts w:ascii="Times New Roman" w:eastAsia="Times New Roman" w:hAnsi="Times New Roman" w:cs="Times New Roman"/>
          <w:sz w:val="24"/>
          <w:szCs w:val="24"/>
          <w:lang w:eastAsia="hr-HR"/>
        </w:rPr>
        <w:t xml:space="preserve"> - ukupni prihodi poslovanja i prihodi od prodaje nefinancijske imovine, ukupni rashodi poslovanja i rashodi za nabavu nefinancijske imovine, ukupni primici od financijske imovine i zaduživanja i izdaci za financijsku imovinu i otplatu zajmova</w:t>
      </w:r>
    </w:p>
    <w:p w14:paraId="0A7556D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Račun prihoda i rashoda</w:t>
      </w:r>
      <w:r w:rsidRPr="0079451F">
        <w:rPr>
          <w:rFonts w:ascii="Times New Roman" w:eastAsia="Times New Roman" w:hAnsi="Times New Roman" w:cs="Times New Roman"/>
          <w:sz w:val="24"/>
          <w:szCs w:val="24"/>
          <w:lang w:eastAsia="hr-HR"/>
        </w:rPr>
        <w:t xml:space="preserve"> - </w:t>
      </w:r>
      <w:r w:rsidRPr="0079451F">
        <w:rPr>
          <w:rFonts w:ascii="CIDFont+F3" w:eastAsia="Times New Roman" w:hAnsi="CIDFont+F3" w:cs="Times New Roman"/>
          <w:color w:val="000000"/>
          <w:sz w:val="24"/>
          <w:szCs w:val="24"/>
          <w:lang w:eastAsia="hr-HR"/>
        </w:rPr>
        <w:t>ukupni prihodi i rashodi iskazani prema izvorima financiranja i ekonomskoj</w:t>
      </w:r>
      <w:r w:rsidRPr="0079451F">
        <w:rPr>
          <w:rFonts w:ascii="Calibri" w:eastAsia="Times New Roman" w:hAnsi="Calibri" w:cs="Calibri"/>
          <w:color w:val="000000"/>
          <w:lang w:eastAsia="hr-HR"/>
        </w:rPr>
        <w:t xml:space="preserve"> </w:t>
      </w:r>
      <w:r w:rsidRPr="0079451F">
        <w:rPr>
          <w:rFonts w:ascii="CIDFont+F3" w:eastAsia="Times New Roman" w:hAnsi="CIDFont+F3" w:cs="Times New Roman"/>
          <w:color w:val="000000"/>
          <w:sz w:val="24"/>
          <w:szCs w:val="24"/>
          <w:lang w:eastAsia="hr-HR"/>
        </w:rPr>
        <w:t>klasifikaciji na razini skupine</w:t>
      </w:r>
      <w:r w:rsidRPr="0079451F">
        <w:rPr>
          <w:rFonts w:ascii="Times New Roman" w:eastAsia="Times New Roman" w:hAnsi="Times New Roman" w:cs="Times New Roman"/>
          <w:sz w:val="24"/>
          <w:szCs w:val="24"/>
          <w:lang w:eastAsia="hr-HR"/>
        </w:rPr>
        <w:t xml:space="preserve">, </w:t>
      </w:r>
      <w:r w:rsidRPr="0079451F">
        <w:rPr>
          <w:rFonts w:ascii="CIDFont+F3" w:eastAsia="Times New Roman" w:hAnsi="CIDFont+F3" w:cs="Times New Roman"/>
          <w:color w:val="000000"/>
          <w:sz w:val="24"/>
          <w:szCs w:val="24"/>
          <w:lang w:eastAsia="hr-HR"/>
        </w:rPr>
        <w:t>ukupni prihodi i rashodi iskazani prema izvorima financiranja</w:t>
      </w:r>
      <w:r w:rsidRPr="0079451F">
        <w:rPr>
          <w:rFonts w:ascii="Calibri" w:eastAsia="Times New Roman" w:hAnsi="Calibri" w:cs="Calibri"/>
          <w:color w:val="000000"/>
          <w:lang w:eastAsia="hr-HR"/>
        </w:rPr>
        <w:t xml:space="preserve">, te </w:t>
      </w:r>
      <w:r w:rsidRPr="0079451F">
        <w:rPr>
          <w:rFonts w:ascii="CIDFont+F3" w:eastAsia="Times New Roman" w:hAnsi="CIDFont+F3" w:cs="Times New Roman"/>
          <w:color w:val="000000"/>
          <w:sz w:val="24"/>
          <w:szCs w:val="24"/>
          <w:lang w:eastAsia="hr-HR"/>
        </w:rPr>
        <w:t>ukupni rashodi iskazani prema funkcijskoj klasifikaciji</w:t>
      </w:r>
    </w:p>
    <w:p w14:paraId="5291C55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Račun financiranja</w:t>
      </w:r>
      <w:r w:rsidRPr="0079451F">
        <w:rPr>
          <w:rFonts w:ascii="Times New Roman" w:eastAsia="Times New Roman" w:hAnsi="Times New Roman" w:cs="Times New Roman"/>
          <w:sz w:val="24"/>
          <w:szCs w:val="24"/>
          <w:lang w:eastAsia="hr-HR"/>
        </w:rPr>
        <w:t xml:space="preserve"> - ukupni primici od financijske imovine i zaduživanja i izdaci za financijsku imovinu i otplatu zaduživanja iskazani prema izvorima financiranja i ekonomskoj klasifikaciji na razini skupine</w:t>
      </w:r>
    </w:p>
    <w:p w14:paraId="3D4D1DE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Preneseni višak ili preneseni manjak</w:t>
      </w:r>
      <w:r w:rsidRPr="0079451F">
        <w:rPr>
          <w:rFonts w:ascii="Times New Roman" w:eastAsia="Times New Roman" w:hAnsi="Times New Roman" w:cs="Times New Roman"/>
          <w:sz w:val="24"/>
          <w:szCs w:val="24"/>
          <w:lang w:eastAsia="hr-HR"/>
        </w:rPr>
        <w:t xml:space="preserve"> - ako ukupni prihodi i primici nisu u ravnoteži s rashodima i izdacima, opći dio proračuna sadrži i preneseni višak odnosno manjak prihoda nad rashodima</w:t>
      </w:r>
    </w:p>
    <w:p w14:paraId="5282268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Višegodišnji plan uravnoteženja</w:t>
      </w:r>
      <w:r w:rsidRPr="0079451F">
        <w:rPr>
          <w:rFonts w:ascii="Times New Roman" w:eastAsia="Times New Roman" w:hAnsi="Times New Roman" w:cs="Times New Roman"/>
          <w:sz w:val="24"/>
          <w:szCs w:val="24"/>
          <w:lang w:eastAsia="hr-HR"/>
        </w:rPr>
        <w:t xml:space="preserve"> - ako Jedinica lokalne i područne (regionalne) samouprave ne mogu preneseni manjak prihoda nad rashodima podmiriti do kraja proračunske godine, obvezni su izraditi višegodišnji plan uravnoteženja za razdoblje za koje se proračun donosi.</w:t>
      </w:r>
    </w:p>
    <w:p w14:paraId="660DC90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Ako jedinica lokalne i područne (regionalne) samouprave ne mogu preneseni višak u cijelosti iskoristiti u jednoj proračunskoj godini, korištenje viškova planiraju višegodišnjim planom uravnoteženja za razdoblje za koje se proračun donosi.</w:t>
      </w:r>
    </w:p>
    <w:p w14:paraId="39E73C7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77083A6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Posebni dio proračuna</w:t>
      </w:r>
    </w:p>
    <w:p w14:paraId="11B6A8E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77AE4C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Posebni dio proračuna sadrži:</w:t>
      </w:r>
    </w:p>
    <w:p w14:paraId="30A6D8D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BD8AAD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
          <w:sz w:val="24"/>
          <w:szCs w:val="24"/>
          <w:lang w:eastAsia="hr-HR"/>
        </w:rPr>
        <w:t>Plan rashoda i izdataka proračuna Jedinice lokalne i područne (regionalne) samouprave i njihovih proračunskih korisnika</w:t>
      </w:r>
      <w:r w:rsidRPr="0079451F">
        <w:rPr>
          <w:rFonts w:ascii="Times New Roman" w:eastAsia="Times New Roman" w:hAnsi="Times New Roman" w:cs="Times New Roman"/>
          <w:sz w:val="24"/>
          <w:szCs w:val="24"/>
          <w:lang w:eastAsia="hr-HR"/>
        </w:rPr>
        <w:t xml:space="preserve"> - rashodi i izdaci Jedinice lokalne i područne (regionalne) samouprave i njihovih proračunskih korisnika iskazanih po organizacijskoj klasifikaciji, </w:t>
      </w:r>
      <w:r w:rsidRPr="0079451F">
        <w:rPr>
          <w:rFonts w:ascii="Times New Roman" w:eastAsia="Times New Roman" w:hAnsi="Times New Roman" w:cs="Times New Roman"/>
          <w:sz w:val="24"/>
          <w:szCs w:val="24"/>
          <w:lang w:eastAsia="hr-HR"/>
        </w:rPr>
        <w:lastRenderedPageBreak/>
        <w:t>izvorima financiranja i ekonomskoj klasifikaciji na razini skupine, raspoređenih u programe a prikazanih kroz projekte i aktivnosti.</w:t>
      </w:r>
    </w:p>
    <w:p w14:paraId="121D9BB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31EB017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1FA4F267"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15F412A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Obrazloženje proračuna</w:t>
      </w:r>
    </w:p>
    <w:p w14:paraId="4F7CD4E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300974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Obrazložen je proračuna sadrži obrazloženje općeg i posebnog dijela proračuna - obrazloženje općeg dijela proračuna sadrži obrazloženje prihoda i rashoda, primitaka i izdataka i obrazloženje prenesenog viška odnosno manjka, obrazloženje posebnog djela proračuna temelji se na obrazloženjima financijskih planova proračunskih korisnika, a sastoje se od obrazloženja programa koje se daje kroz obrazloženje aktivnosti i projekata zajedno s ciljevima i pokazateljima uspješnosti iz akta o strateškom planiranju.</w:t>
      </w:r>
    </w:p>
    <w:p w14:paraId="48B783B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343C01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192C47CF"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Sudjelovanje građana u procesu planiranja proračuna jedinica lokalne i područne (regionalne) samouprave</w:t>
      </w:r>
    </w:p>
    <w:p w14:paraId="52CB9EC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6897E6B4" w14:textId="43DFC901" w:rsidR="0079451F" w:rsidRPr="0079451F" w:rsidRDefault="0079451F" w:rsidP="0079451F">
      <w:pPr>
        <w:suppressAutoHyphens/>
        <w:autoSpaceDN w:val="0"/>
        <w:spacing w:after="0" w:line="240" w:lineRule="auto"/>
        <w:jc w:val="both"/>
        <w:rPr>
          <w:rFonts w:ascii="CIDFont+F3" w:eastAsia="Times New Roman" w:hAnsi="CIDFont+F3" w:cs="Times New Roman"/>
          <w:color w:val="000000"/>
          <w:sz w:val="24"/>
          <w:szCs w:val="24"/>
          <w:lang w:eastAsia="hr-HR"/>
        </w:rPr>
      </w:pPr>
      <w:r w:rsidRPr="0079451F">
        <w:rPr>
          <w:rFonts w:ascii="CIDFont+F3" w:eastAsia="Times New Roman" w:hAnsi="CIDFont+F3" w:cs="Times New Roman"/>
          <w:color w:val="000000"/>
          <w:sz w:val="24"/>
          <w:szCs w:val="24"/>
          <w:lang w:eastAsia="hr-HR"/>
        </w:rPr>
        <w:t>Kao i prijašnjih godina, jedinice lokalne i područne (regionalne) samouprave i njihovi</w:t>
      </w:r>
      <w:r w:rsidRPr="0079451F">
        <w:rPr>
          <w:rFonts w:ascii="CIDFont+F3" w:eastAsia="Times New Roman" w:hAnsi="CIDFont+F3" w:cs="Times New Roman"/>
          <w:color w:val="000000"/>
          <w:sz w:val="24"/>
          <w:szCs w:val="24"/>
          <w:lang w:eastAsia="hr-HR"/>
        </w:rPr>
        <w:br/>
        <w:t>proračunski korisnici, po usvajanju proračuna od strane predstavničkog tijela, proračune i</w:t>
      </w:r>
      <w:r w:rsidRPr="0079451F">
        <w:rPr>
          <w:rFonts w:ascii="CIDFont+F3" w:eastAsia="Times New Roman" w:hAnsi="CIDFont+F3" w:cs="Times New Roman"/>
          <w:color w:val="000000"/>
          <w:sz w:val="24"/>
          <w:szCs w:val="24"/>
          <w:lang w:eastAsia="hr-HR"/>
        </w:rPr>
        <w:br/>
        <w:t>financijske planove dužni su objaviti na svojim mrežnim stranicama. Prilikom izrade proračuna</w:t>
      </w:r>
      <w:r w:rsidRPr="0079451F">
        <w:rPr>
          <w:rFonts w:ascii="CIDFont+F3" w:eastAsia="Times New Roman" w:hAnsi="CIDFont+F3" w:cs="Times New Roman"/>
          <w:color w:val="000000"/>
          <w:sz w:val="24"/>
          <w:szCs w:val="24"/>
          <w:lang w:eastAsia="hr-HR"/>
        </w:rPr>
        <w:br/>
        <w:t>za razdoblje 202</w:t>
      </w:r>
      <w:r w:rsidR="006015B9">
        <w:rPr>
          <w:rFonts w:ascii="CIDFont+F3" w:eastAsia="Times New Roman" w:hAnsi="CIDFont+F3" w:cs="Times New Roman"/>
          <w:color w:val="000000"/>
          <w:sz w:val="24"/>
          <w:szCs w:val="24"/>
          <w:lang w:eastAsia="hr-HR"/>
        </w:rPr>
        <w:t>7</w:t>
      </w:r>
      <w:r w:rsidRPr="0079451F">
        <w:rPr>
          <w:rFonts w:ascii="CIDFont+F3" w:eastAsia="Times New Roman" w:hAnsi="CIDFont+F3" w:cs="Times New Roman"/>
          <w:color w:val="000000"/>
          <w:sz w:val="24"/>
          <w:szCs w:val="24"/>
          <w:lang w:eastAsia="hr-HR"/>
        </w:rPr>
        <w:t>. - 202</w:t>
      </w:r>
      <w:r w:rsidR="006015B9">
        <w:rPr>
          <w:rFonts w:ascii="CIDFont+F3" w:eastAsia="Times New Roman" w:hAnsi="CIDFont+F3" w:cs="Times New Roman"/>
          <w:color w:val="000000"/>
          <w:sz w:val="24"/>
          <w:szCs w:val="24"/>
          <w:lang w:eastAsia="hr-HR"/>
        </w:rPr>
        <w:t>9</w:t>
      </w:r>
      <w:r w:rsidRPr="0079451F">
        <w:rPr>
          <w:rFonts w:ascii="CIDFont+F3" w:eastAsia="Times New Roman" w:hAnsi="CIDFont+F3" w:cs="Times New Roman"/>
          <w:color w:val="000000"/>
          <w:sz w:val="24"/>
          <w:szCs w:val="24"/>
          <w:lang w:eastAsia="hr-HR"/>
        </w:rPr>
        <w:t>. jedinice lokalne i područne (regionalne) samouprave trebaju</w:t>
      </w:r>
      <w:r w:rsidRPr="0079451F">
        <w:rPr>
          <w:rFonts w:ascii="CIDFont+F3" w:eastAsia="Times New Roman" w:hAnsi="CIDFont+F3" w:cs="Times New Roman"/>
          <w:color w:val="000000"/>
          <w:sz w:val="24"/>
          <w:szCs w:val="24"/>
          <w:lang w:eastAsia="hr-HR"/>
        </w:rPr>
        <w:br/>
        <w:t>razmotriti komentare koje su zaprimile na usvojen i po usvajanju objavljen proračun za</w:t>
      </w:r>
      <w:r w:rsidRPr="0079451F">
        <w:rPr>
          <w:rFonts w:ascii="CIDFont+F3" w:eastAsia="Times New Roman" w:hAnsi="CIDFont+F3" w:cs="Times New Roman"/>
          <w:color w:val="000000"/>
          <w:sz w:val="24"/>
          <w:szCs w:val="24"/>
          <w:lang w:eastAsia="hr-HR"/>
        </w:rPr>
        <w:br/>
        <w:t>razdoblje 202</w:t>
      </w:r>
      <w:r w:rsidR="006015B9">
        <w:rPr>
          <w:rFonts w:ascii="CIDFont+F3" w:eastAsia="Times New Roman" w:hAnsi="CIDFont+F3" w:cs="Times New Roman"/>
          <w:color w:val="000000"/>
          <w:sz w:val="24"/>
          <w:szCs w:val="24"/>
          <w:lang w:eastAsia="hr-HR"/>
        </w:rPr>
        <w:t>6</w:t>
      </w:r>
      <w:r w:rsidRPr="0079451F">
        <w:rPr>
          <w:rFonts w:ascii="CIDFont+F3" w:eastAsia="Times New Roman" w:hAnsi="CIDFont+F3" w:cs="Times New Roman"/>
          <w:color w:val="000000"/>
          <w:sz w:val="24"/>
          <w:szCs w:val="24"/>
          <w:lang w:eastAsia="hr-HR"/>
        </w:rPr>
        <w:t>. - 202</w:t>
      </w:r>
      <w:r w:rsidR="006015B9">
        <w:rPr>
          <w:rFonts w:ascii="CIDFont+F3" w:eastAsia="Times New Roman" w:hAnsi="CIDFont+F3" w:cs="Times New Roman"/>
          <w:color w:val="000000"/>
          <w:sz w:val="24"/>
          <w:szCs w:val="24"/>
          <w:lang w:eastAsia="hr-HR"/>
        </w:rPr>
        <w:t>8</w:t>
      </w:r>
      <w:r w:rsidRPr="0079451F">
        <w:rPr>
          <w:rFonts w:ascii="CIDFont+F3" w:eastAsia="Times New Roman" w:hAnsi="CIDFont+F3" w:cs="Times New Roman"/>
          <w:color w:val="000000"/>
          <w:sz w:val="24"/>
          <w:szCs w:val="24"/>
          <w:lang w:eastAsia="hr-HR"/>
        </w:rPr>
        <w:t>.  ove godine, a kako bi se građanima i ostaloj zainteresiranoj javnosti</w:t>
      </w:r>
      <w:r w:rsidRPr="0079451F">
        <w:rPr>
          <w:rFonts w:ascii="CIDFont+F3" w:eastAsia="Times New Roman" w:hAnsi="CIDFont+F3" w:cs="Times New Roman"/>
          <w:color w:val="000000"/>
          <w:sz w:val="24"/>
          <w:szCs w:val="24"/>
          <w:lang w:eastAsia="hr-HR"/>
        </w:rPr>
        <w:br/>
        <w:t>omogućilo aktivnije sudjelovanje u procesu izrade proračuna jedinica lokalne i područne</w:t>
      </w:r>
      <w:r w:rsidRPr="0079451F">
        <w:rPr>
          <w:rFonts w:ascii="CIDFont+F3" w:eastAsia="Times New Roman" w:hAnsi="CIDFont+F3" w:cs="Times New Roman"/>
          <w:color w:val="000000"/>
          <w:sz w:val="24"/>
          <w:szCs w:val="24"/>
          <w:lang w:eastAsia="hr-HR"/>
        </w:rPr>
        <w:br/>
        <w:t>(regionalne) samouprave, uz ostale već prisutne načine sudjelovanja, preporuka je da jedinice</w:t>
      </w:r>
      <w:r w:rsidRPr="0079451F">
        <w:rPr>
          <w:rFonts w:ascii="CIDFont+F3" w:eastAsia="Times New Roman" w:hAnsi="CIDFont+F3" w:cs="Times New Roman"/>
          <w:color w:val="000000"/>
          <w:sz w:val="24"/>
          <w:szCs w:val="24"/>
          <w:lang w:eastAsia="hr-HR"/>
        </w:rPr>
        <w:br/>
        <w:t>lokalne i područne (regionalne) samouprave osiguraju zainteresiranoj javnosti mogućnost online dostave komentara, preporuka i prijedloga, na usvojeni proračun za razdoblje 202</w:t>
      </w:r>
      <w:r w:rsidR="006015B9">
        <w:rPr>
          <w:rFonts w:ascii="CIDFont+F3" w:eastAsia="Times New Roman" w:hAnsi="CIDFont+F3" w:cs="Times New Roman"/>
          <w:color w:val="000000"/>
          <w:sz w:val="24"/>
          <w:szCs w:val="24"/>
          <w:lang w:eastAsia="hr-HR"/>
        </w:rPr>
        <w:t>7</w:t>
      </w:r>
      <w:r w:rsidRPr="0079451F">
        <w:rPr>
          <w:rFonts w:ascii="CIDFont+F3" w:eastAsia="Times New Roman" w:hAnsi="CIDFont+F3" w:cs="Times New Roman"/>
          <w:color w:val="000000"/>
          <w:sz w:val="24"/>
          <w:szCs w:val="24"/>
          <w:lang w:eastAsia="hr-HR"/>
        </w:rPr>
        <w:t>. -</w:t>
      </w:r>
      <w:r w:rsidRPr="0079451F">
        <w:rPr>
          <w:rFonts w:ascii="CIDFont+F3" w:eastAsia="Times New Roman" w:hAnsi="CIDFont+F3" w:cs="Times New Roman"/>
          <w:color w:val="000000"/>
          <w:sz w:val="24"/>
          <w:szCs w:val="24"/>
          <w:lang w:eastAsia="hr-HR"/>
        </w:rPr>
        <w:br/>
        <w:t>202</w:t>
      </w:r>
      <w:r w:rsidR="006015B9">
        <w:rPr>
          <w:rFonts w:ascii="CIDFont+F3" w:eastAsia="Times New Roman" w:hAnsi="CIDFont+F3" w:cs="Times New Roman"/>
          <w:color w:val="000000"/>
          <w:sz w:val="24"/>
          <w:szCs w:val="24"/>
          <w:lang w:eastAsia="hr-HR"/>
        </w:rPr>
        <w:t>9</w:t>
      </w:r>
      <w:r w:rsidRPr="0079451F">
        <w:rPr>
          <w:rFonts w:ascii="CIDFont+F3" w:eastAsia="Times New Roman" w:hAnsi="CIDFont+F3" w:cs="Times New Roman"/>
          <w:color w:val="000000"/>
          <w:sz w:val="24"/>
          <w:szCs w:val="24"/>
          <w:lang w:eastAsia="hr-HR"/>
        </w:rPr>
        <w:t>., a kako bi se zaprimljeni komentari mogli razmotriti prilikom izrade proračuna za</w:t>
      </w:r>
      <w:r w:rsidRPr="0079451F">
        <w:rPr>
          <w:rFonts w:ascii="CIDFont+F3" w:eastAsia="Times New Roman" w:hAnsi="CIDFont+F3" w:cs="Times New Roman"/>
          <w:color w:val="000000"/>
          <w:sz w:val="24"/>
          <w:szCs w:val="24"/>
          <w:lang w:eastAsia="hr-HR"/>
        </w:rPr>
        <w:br/>
        <w:t>razdoblje 202</w:t>
      </w:r>
      <w:r w:rsidR="006015B9">
        <w:rPr>
          <w:rFonts w:ascii="CIDFont+F3" w:eastAsia="Times New Roman" w:hAnsi="CIDFont+F3" w:cs="Times New Roman"/>
          <w:color w:val="000000"/>
          <w:sz w:val="24"/>
          <w:szCs w:val="24"/>
          <w:lang w:eastAsia="hr-HR"/>
        </w:rPr>
        <w:t>8</w:t>
      </w:r>
      <w:r w:rsidRPr="0079451F">
        <w:rPr>
          <w:rFonts w:ascii="CIDFont+F3" w:eastAsia="Times New Roman" w:hAnsi="CIDFont+F3" w:cs="Times New Roman"/>
          <w:color w:val="000000"/>
          <w:sz w:val="24"/>
          <w:szCs w:val="24"/>
          <w:lang w:eastAsia="hr-HR"/>
        </w:rPr>
        <w:t>. - 20</w:t>
      </w:r>
      <w:r w:rsidR="006015B9">
        <w:rPr>
          <w:rFonts w:ascii="CIDFont+F3" w:eastAsia="Times New Roman" w:hAnsi="CIDFont+F3" w:cs="Times New Roman"/>
          <w:color w:val="000000"/>
          <w:sz w:val="24"/>
          <w:szCs w:val="24"/>
          <w:lang w:eastAsia="hr-HR"/>
        </w:rPr>
        <w:t>30</w:t>
      </w:r>
      <w:r w:rsidRPr="0079451F">
        <w:rPr>
          <w:rFonts w:ascii="CIDFont+F3" w:eastAsia="Times New Roman" w:hAnsi="CIDFont+F3" w:cs="Times New Roman"/>
          <w:color w:val="000000"/>
          <w:sz w:val="24"/>
          <w:szCs w:val="24"/>
          <w:lang w:eastAsia="hr-HR"/>
        </w:rPr>
        <w:t>. godinu.</w:t>
      </w:r>
    </w:p>
    <w:p w14:paraId="267A6521" w14:textId="77777777" w:rsidR="0079451F" w:rsidRPr="0079451F" w:rsidRDefault="0079451F" w:rsidP="0079451F">
      <w:pPr>
        <w:suppressAutoHyphens/>
        <w:autoSpaceDN w:val="0"/>
        <w:spacing w:after="0" w:line="240" w:lineRule="auto"/>
        <w:jc w:val="both"/>
        <w:rPr>
          <w:rFonts w:ascii="CIDFont+F3" w:eastAsia="Times New Roman" w:hAnsi="CIDFont+F3" w:cs="Times New Roman"/>
          <w:sz w:val="24"/>
          <w:szCs w:val="24"/>
          <w:lang w:eastAsia="hr-HR"/>
        </w:rPr>
      </w:pPr>
      <w:r w:rsidRPr="0079451F">
        <w:rPr>
          <w:rFonts w:ascii="CIDFont+F3" w:eastAsia="Times New Roman" w:hAnsi="CIDFont+F3" w:cs="Times New Roman"/>
          <w:sz w:val="24"/>
          <w:szCs w:val="24"/>
          <w:lang w:eastAsia="hr-HR"/>
        </w:rPr>
        <w:t>Obrazac za On-line prijedloge nalazi se u prilogu 6. Uputa.</w:t>
      </w:r>
    </w:p>
    <w:p w14:paraId="40865F6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7E05F58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45A8844C"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Izmjene i dopune plana proračuna</w:t>
      </w:r>
    </w:p>
    <w:p w14:paraId="6CE82C0D" w14:textId="77777777" w:rsidR="0079451F" w:rsidRPr="0079451F" w:rsidRDefault="0079451F" w:rsidP="0079451F">
      <w:pPr>
        <w:suppressAutoHyphens/>
        <w:autoSpaceDN w:val="0"/>
        <w:spacing w:after="0" w:line="240" w:lineRule="auto"/>
        <w:ind w:left="360"/>
        <w:jc w:val="both"/>
        <w:rPr>
          <w:rFonts w:ascii="Times New Roman" w:eastAsia="Times New Roman" w:hAnsi="Times New Roman" w:cs="Times New Roman"/>
          <w:b/>
          <w:sz w:val="24"/>
          <w:szCs w:val="24"/>
          <w:lang w:eastAsia="hr-HR"/>
        </w:rPr>
      </w:pPr>
    </w:p>
    <w:p w14:paraId="21EEE3C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Izmjenama i dopunama plana proračuna mijenja se isključivo plan za tekuću godinu. Na postupak donošenja izmjena i dopuna plana proračuna primjenjuje se odredba Zakona o proračunu  za postupak donošenja proračuna. Izmjene i dopune proračuna sastoje se od plana za tekuću godini i sadrže opći i posebni dio proračuna te obrazloženje izmjena i dopuna plana proračuna. Izmjenama i dopunama proračuna ne mogu se mijenjati rashodi i izdaci ispod razine izvršenja i preuzetih obveza po investicijskim projektima te preuzetih obveza iz ugovora koji zahtijevaju plaćanje u slijedećim godinama. Ostvareni namjenski prihodi proračuna, izmjenama i dopunama plana proračuna moraju se planirati minimalno na razini ostvarenih prihoda i primitaka, odnosno izvršenih rashoda i izdataka. Uz svake izmjene i dopune plana proračuna obvezno je izraditi i obrazloženje općeg dijela proračuna.</w:t>
      </w:r>
    </w:p>
    <w:p w14:paraId="64A47F30" w14:textId="77777777" w:rsid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D0C7302" w14:textId="77777777" w:rsidR="00504BB6"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5F90E177" w14:textId="77777777" w:rsidR="00504BB6"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5738D83" w14:textId="77777777" w:rsidR="00504BB6" w:rsidRPr="0079451F" w:rsidRDefault="00504BB6"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15B03BF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4FA33CD"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lastRenderedPageBreak/>
        <w:t xml:space="preserve"> Transparentnost proračuna</w:t>
      </w:r>
    </w:p>
    <w:p w14:paraId="2DA1FF9D" w14:textId="77777777" w:rsidR="0079451F" w:rsidRPr="0079451F" w:rsidRDefault="0079451F" w:rsidP="0079451F">
      <w:pPr>
        <w:suppressAutoHyphens/>
        <w:autoSpaceDN w:val="0"/>
        <w:spacing w:after="0" w:line="240" w:lineRule="auto"/>
        <w:ind w:left="360"/>
        <w:jc w:val="both"/>
        <w:rPr>
          <w:rFonts w:ascii="Times New Roman" w:eastAsia="Times New Roman" w:hAnsi="Times New Roman" w:cs="Times New Roman"/>
          <w:b/>
          <w:sz w:val="24"/>
          <w:szCs w:val="24"/>
          <w:lang w:eastAsia="hr-HR"/>
        </w:rPr>
      </w:pPr>
    </w:p>
    <w:p w14:paraId="3AD7F018" w14:textId="27C0F473"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Zakonom o proračunu propisana je obveza objave dokumenata i informacija o trošenju proračunskih sredstava. Svi dokumenti vezani uz proračun i njegove izmjene objavljuju je u formatu pogodnom za daljnju obradu (word </w:t>
      </w:r>
      <w:r w:rsidR="008C1CF9">
        <w:rPr>
          <w:rFonts w:ascii="Times New Roman" w:eastAsia="Times New Roman" w:hAnsi="Times New Roman" w:cs="Times New Roman"/>
          <w:sz w:val="24"/>
          <w:szCs w:val="24"/>
          <w:lang w:eastAsia="hr-HR"/>
        </w:rPr>
        <w:t>/</w:t>
      </w:r>
      <w:proofErr w:type="spellStart"/>
      <w:r w:rsidRPr="0079451F">
        <w:rPr>
          <w:rFonts w:ascii="Times New Roman" w:eastAsia="Times New Roman" w:hAnsi="Times New Roman" w:cs="Times New Roman"/>
          <w:sz w:val="24"/>
          <w:szCs w:val="24"/>
          <w:lang w:eastAsia="hr-HR"/>
        </w:rPr>
        <w:t>excel</w:t>
      </w:r>
      <w:proofErr w:type="spellEnd"/>
      <w:r w:rsidR="008C1CF9">
        <w:rPr>
          <w:rFonts w:ascii="Times New Roman" w:eastAsia="Times New Roman" w:hAnsi="Times New Roman" w:cs="Times New Roman"/>
          <w:sz w:val="24"/>
          <w:szCs w:val="24"/>
          <w:lang w:eastAsia="hr-HR"/>
        </w:rPr>
        <w:t>/pdf</w:t>
      </w:r>
      <w:r w:rsidRPr="0079451F">
        <w:rPr>
          <w:rFonts w:ascii="Times New Roman" w:eastAsia="Times New Roman" w:hAnsi="Times New Roman" w:cs="Times New Roman"/>
          <w:sz w:val="24"/>
          <w:szCs w:val="24"/>
          <w:lang w:eastAsia="hr-HR"/>
        </w:rPr>
        <w:t>).</w:t>
      </w:r>
    </w:p>
    <w:p w14:paraId="09229C3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FCEC49E" w14:textId="77777777" w:rsidR="0079451F" w:rsidRPr="0079451F" w:rsidRDefault="0079451F" w:rsidP="0079451F">
      <w:pPr>
        <w:suppressAutoHyphens/>
        <w:autoSpaceDN w:val="0"/>
        <w:spacing w:after="0" w:line="240" w:lineRule="auto"/>
        <w:rPr>
          <w:rFonts w:ascii="Times New Roman" w:eastAsia="Times New Roman" w:hAnsi="Times New Roman" w:cs="Times New Roman"/>
          <w:color w:val="000000"/>
          <w:sz w:val="24"/>
          <w:szCs w:val="24"/>
          <w:lang w:eastAsia="hr-HR"/>
        </w:rPr>
      </w:pPr>
      <w:r w:rsidRPr="0079451F">
        <w:rPr>
          <w:rFonts w:ascii="Times New Roman" w:eastAsia="Times New Roman" w:hAnsi="Times New Roman" w:cs="Times New Roman"/>
          <w:color w:val="000000"/>
          <w:sz w:val="24"/>
          <w:szCs w:val="24"/>
          <w:lang w:eastAsia="hr-HR"/>
        </w:rPr>
        <w:t>Sukladno odredbama članka 144. Zakona o proračunu u nastavku navodimo obaveze vezano za transparentnost:</w:t>
      </w:r>
    </w:p>
    <w:p w14:paraId="0A59997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-Proračun i izmjene i dopune proračuna, odluka o privremenom financiranju, odluka o izmjenama i dopunama odluke o izvršavanju proračuna, financijski planovi i izmjene i dopune financijskih planova proračunskih i izvanproračunskih korisnika, polugodišnji i godišnji izvještaj o izvršenju proračuna te polugodišnji i godišnji izvještaja o izvršenju financijskih planova proračunskih i izvanproračunskih korisnika obvezno se objavljuju na mrežnim stranicama jedinice.</w:t>
      </w:r>
    </w:p>
    <w:p w14:paraId="2A607F2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Ako proračunski korisnik i izvanproračunski korisnik nema svoje mrežne stranice tada se potrebno objavljuje na mrežnim stranicama nadležnog proračuna odnosno jedinice lokalne i područne (regionalne) samouprave.</w:t>
      </w:r>
    </w:p>
    <w:p w14:paraId="52FB0C1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Opći i posebni dio proračuna, odluka o izvršavanju proračuna jedinice lokalne i područne (regionalne) samouprave, izmjene i dopune proračuna te izmjene i dopune odluke o izvršavanju plana proračuna, odluka o privremenom financiranju te opći i posebni dio polugodišnjeg i godišnjeg izvještaja o izvršenju plana proračuna objavljuju se u službenom glasili jedinice.</w:t>
      </w:r>
    </w:p>
    <w:p w14:paraId="040B405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Vodič za građane odnosno proračun u malom objavljuju se na mrežnim stranicama jedinice. </w:t>
      </w:r>
    </w:p>
    <w:p w14:paraId="3EB04B1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0C3D39A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Sukladno s dosadašnjom praksom i Uputama ministarstva financija preporučuje se jedinicama da sa svojim mrežnim stranicama objavljuju:</w:t>
      </w:r>
    </w:p>
    <w:p w14:paraId="23DA5B8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sve ključne proračunske dokumente (a posebice prijedlog proračuna, izglasani proračun, izmjene i dopune proračuna, proračunski vodič, polugodišnji i godišnji izvještaji o izvršenju proračuna) objavljuju u jedinstvenom folderu nazvanom PRORAČUN, na kojeg postoji direktan link s naslovne stranice, </w:t>
      </w:r>
    </w:p>
    <w:p w14:paraId="0AF6B81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pri objavi prijedloga proračuna, izglasanog proračuna te izmjena i dopuna proračuna objavljuju kompletan sadržaj tih proračunskih dokumenata (opći i posebni dio proračuna), </w:t>
      </w:r>
    </w:p>
    <w:p w14:paraId="360126F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usvojeni proračuni objavljuju, sukladno odredbama Zakona o proračunu, za proračunsku godinu i za sljedeće dvije godine na drugoj razini računskoga plana (na razini skupine) i </w:t>
      </w:r>
    </w:p>
    <w:p w14:paraId="6540BF0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proračunske vodiče za građane, na zahtjev građana, distribuiraju građanima svake godine u obliku brošure (fizičke i elektroničke), o trošku proračuna.</w:t>
      </w:r>
    </w:p>
    <w:p w14:paraId="7FEE301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color w:val="000000"/>
          <w:sz w:val="24"/>
          <w:szCs w:val="24"/>
          <w:lang w:eastAsia="hr-HR"/>
        </w:rPr>
      </w:pPr>
      <w:r w:rsidRPr="0079451F">
        <w:rPr>
          <w:rFonts w:ascii="Times New Roman" w:eastAsia="Times New Roman" w:hAnsi="Times New Roman" w:cs="Times New Roman"/>
          <w:color w:val="000000"/>
          <w:sz w:val="24"/>
          <w:szCs w:val="24"/>
          <w:lang w:eastAsia="hr-HR"/>
        </w:rPr>
        <w:t>Zakonom o lokalnoj i područnoj (regionalnoj) samoupravi (Narodne novine, br. 33/01, 60/01,</w:t>
      </w:r>
      <w:r w:rsidRPr="0079451F">
        <w:rPr>
          <w:rFonts w:ascii="Times New Roman" w:eastAsia="Times New Roman" w:hAnsi="Times New Roman" w:cs="Times New Roman"/>
          <w:color w:val="000000"/>
          <w:sz w:val="24"/>
          <w:szCs w:val="24"/>
          <w:lang w:eastAsia="hr-HR"/>
        </w:rPr>
        <w:br/>
        <w:t>129/05, 109/07, 125/08, 36/09, 150/11, 144/12, 19/13 - pročišćeni tekst, 137/15 - ispravak,</w:t>
      </w:r>
      <w:r w:rsidRPr="0079451F">
        <w:rPr>
          <w:rFonts w:ascii="Times New Roman" w:eastAsia="Times New Roman" w:hAnsi="Times New Roman" w:cs="Times New Roman"/>
          <w:color w:val="000000"/>
          <w:sz w:val="24"/>
          <w:szCs w:val="24"/>
          <w:lang w:eastAsia="hr-HR"/>
        </w:rPr>
        <w:br/>
        <w:t xml:space="preserve">123/17, 98/19 i 144/20) propisano je da su općina, grad i županija </w:t>
      </w:r>
      <w:r w:rsidRPr="0079451F">
        <w:rPr>
          <w:rFonts w:ascii="Times New Roman" w:eastAsia="Times New Roman" w:hAnsi="Times New Roman" w:cs="Times New Roman"/>
          <w:bCs/>
          <w:color w:val="000000"/>
          <w:sz w:val="24"/>
          <w:szCs w:val="24"/>
          <w:lang w:eastAsia="hr-HR"/>
        </w:rPr>
        <w:t xml:space="preserve">dužne </w:t>
      </w:r>
      <w:r w:rsidRPr="0079451F">
        <w:rPr>
          <w:rFonts w:ascii="Times New Roman" w:eastAsia="Times New Roman" w:hAnsi="Times New Roman" w:cs="Times New Roman"/>
          <w:color w:val="000000"/>
          <w:sz w:val="24"/>
          <w:szCs w:val="24"/>
          <w:lang w:eastAsia="hr-HR"/>
        </w:rPr>
        <w:t>na svojim mrežnim</w:t>
      </w:r>
      <w:r w:rsidRPr="0079451F">
        <w:rPr>
          <w:rFonts w:ascii="Times New Roman" w:eastAsia="Times New Roman" w:hAnsi="Times New Roman" w:cs="Times New Roman"/>
          <w:color w:val="000000"/>
          <w:sz w:val="24"/>
          <w:szCs w:val="24"/>
          <w:lang w:eastAsia="hr-HR"/>
        </w:rPr>
        <w:br/>
        <w:t xml:space="preserve">stranicama </w:t>
      </w:r>
      <w:r w:rsidRPr="0079451F">
        <w:rPr>
          <w:rFonts w:ascii="Times New Roman" w:eastAsia="Times New Roman" w:hAnsi="Times New Roman" w:cs="Times New Roman"/>
          <w:bCs/>
          <w:color w:val="000000"/>
          <w:sz w:val="24"/>
          <w:szCs w:val="24"/>
          <w:lang w:eastAsia="hr-HR"/>
        </w:rPr>
        <w:t xml:space="preserve">javno objaviti informacije o trošenju proračunskih sredstava </w:t>
      </w:r>
      <w:r w:rsidRPr="0079451F">
        <w:rPr>
          <w:rFonts w:ascii="Times New Roman" w:eastAsia="Times New Roman" w:hAnsi="Times New Roman" w:cs="Times New Roman"/>
          <w:color w:val="000000"/>
          <w:sz w:val="24"/>
          <w:szCs w:val="24"/>
          <w:lang w:eastAsia="hr-HR"/>
        </w:rPr>
        <w:t>tako da te</w:t>
      </w:r>
      <w:r w:rsidRPr="0079451F">
        <w:rPr>
          <w:rFonts w:ascii="Times New Roman" w:eastAsia="Times New Roman" w:hAnsi="Times New Roman" w:cs="Times New Roman"/>
          <w:color w:val="000000"/>
          <w:sz w:val="24"/>
          <w:szCs w:val="24"/>
          <w:lang w:eastAsia="hr-HR"/>
        </w:rPr>
        <w:br/>
        <w:t xml:space="preserve">informacije budu lako dostupne i </w:t>
      </w:r>
      <w:proofErr w:type="spellStart"/>
      <w:r w:rsidRPr="0079451F">
        <w:rPr>
          <w:rFonts w:ascii="Times New Roman" w:eastAsia="Times New Roman" w:hAnsi="Times New Roman" w:cs="Times New Roman"/>
          <w:color w:val="000000"/>
          <w:sz w:val="24"/>
          <w:szCs w:val="24"/>
          <w:lang w:eastAsia="hr-HR"/>
        </w:rPr>
        <w:t>pretražive</w:t>
      </w:r>
      <w:proofErr w:type="spellEnd"/>
      <w:r w:rsidRPr="0079451F">
        <w:rPr>
          <w:rFonts w:ascii="Times New Roman" w:eastAsia="Times New Roman" w:hAnsi="Times New Roman" w:cs="Times New Roman"/>
          <w:color w:val="000000"/>
          <w:sz w:val="24"/>
          <w:szCs w:val="24"/>
          <w:lang w:eastAsia="hr-HR"/>
        </w:rPr>
        <w:t xml:space="preserve">. </w:t>
      </w:r>
    </w:p>
    <w:p w14:paraId="6FB7981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color w:val="FF0000"/>
          <w:sz w:val="24"/>
          <w:szCs w:val="24"/>
          <w:lang w:eastAsia="hr-HR"/>
        </w:rPr>
      </w:pPr>
    </w:p>
    <w:p w14:paraId="71521A3E" w14:textId="77777777" w:rsidR="0079451F" w:rsidRPr="0079451F" w:rsidRDefault="0079451F" w:rsidP="0079451F">
      <w:pPr>
        <w:suppressAutoHyphens/>
        <w:autoSpaceDN w:val="0"/>
        <w:spacing w:after="0" w:line="240" w:lineRule="auto"/>
        <w:rPr>
          <w:rFonts w:ascii="Times New Roman" w:eastAsia="Times New Roman" w:hAnsi="Times New Roman" w:cs="Times New Roman"/>
          <w:color w:val="000000"/>
          <w:sz w:val="24"/>
          <w:szCs w:val="24"/>
          <w:lang w:eastAsia="hr-HR"/>
        </w:rPr>
      </w:pPr>
    </w:p>
    <w:p w14:paraId="75C5BAC6"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Dostava proračuna i odluke o izvršenju proračuna Ministarstvu financija i Državnom uredu za reviziju </w:t>
      </w:r>
    </w:p>
    <w:p w14:paraId="3D9B40A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080D2BB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Sukladno članku 43. Zakona o proračunu, načelnik, gradonačelnik i župan obvezni su dostaviti Ministarstvu financija sljedeće akte:</w:t>
      </w:r>
    </w:p>
    <w:p w14:paraId="7C525FB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Proračun za proračunsku godinu i projekcije za sljedeće dvije godine, </w:t>
      </w:r>
    </w:p>
    <w:p w14:paraId="7F2F130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Odluku o izvršavanju proračuna jedinice lokalne i područne (regionalne) samouprave, </w:t>
      </w:r>
    </w:p>
    <w:p w14:paraId="4BFAA147"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Izmjene i dopune proračuna, te </w:t>
      </w:r>
    </w:p>
    <w:p w14:paraId="690A0C9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lastRenderedPageBreak/>
        <w:t>- Izmjene i dopune odluke o izvršavanju proračuna jedinice lokalne i područne (regionalne) samouprave.</w:t>
      </w:r>
    </w:p>
    <w:p w14:paraId="4192CB7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w:t>
      </w:r>
    </w:p>
    <w:p w14:paraId="379535D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Načelnik, gradonačelnik i župan su navedene akte, sukladno Zakonskim odredbama, obvezni dostaviti Ministarstvu financija u  roku od 15 dana od njihova stupanja na snagu. </w:t>
      </w:r>
    </w:p>
    <w:p w14:paraId="723EE16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715B038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Jedinice lokalne i područne (regionalne) samouprave obvezne su na adresu e-pošte Ministarstva financija: lokalni.proracuni@mfin.hr poslati link na navedene dokumente objavljene u službenom glasilu, u roku od 15 dana od dana njihova stupanja na snagu. </w:t>
      </w:r>
    </w:p>
    <w:p w14:paraId="4BA2AE9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3B11271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Sukladno članku 90. Zakona o proračunu, godišnji izvještaj o izvršenju proračuna jedinice lokalne i područne (regionalne) samouprave dostavlja se Ministarstvu financija i Državnom uredu za reviziju u roku od 15 dana nakon što ga donese predstavničko tijelo jedinice lokalne i područne (regionalne) samouprave. Iznimno, ako predstavničko tijelo ne donese izvještaj, isti se dostavlja Ministarstvu financija i Državnom uredu za reviziju u roku od 60 dana od dana podnošenja predstavničkom tijelu.</w:t>
      </w:r>
    </w:p>
    <w:p w14:paraId="1C15220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71C63DE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Ministarstvu financija je potrebno na e-mail adresu </w:t>
      </w:r>
      <w:hyperlink r:id="rId6" w:history="1">
        <w:r w:rsidRPr="0079451F">
          <w:rPr>
            <w:rFonts w:ascii="Times New Roman" w:eastAsia="Times New Roman" w:hAnsi="Times New Roman" w:cs="Times New Roman"/>
            <w:color w:val="0000FF"/>
            <w:sz w:val="24"/>
            <w:szCs w:val="24"/>
            <w:u w:val="single"/>
            <w:lang w:eastAsia="hr-HR"/>
          </w:rPr>
          <w:t>lokalni.proracuni@mfin.hr</w:t>
        </w:r>
      </w:hyperlink>
      <w:r w:rsidRPr="0079451F">
        <w:rPr>
          <w:rFonts w:ascii="Times New Roman" w:eastAsia="Times New Roman" w:hAnsi="Times New Roman" w:cs="Times New Roman"/>
          <w:sz w:val="24"/>
          <w:szCs w:val="24"/>
          <w:lang w:eastAsia="hr-HR"/>
        </w:rPr>
        <w:t xml:space="preserve"> dostaviti isključivo link na internetsku stranicu jedinice lokane i područne (regionalne ) samouprave na kojoj je izvještaj objavljen. Državnom uredu za reviziju je podatak o linku potrebno dostaviti na e-mail Državnog ureda za reviziju i to: Grad Zagreb na e-mail Središnjeg ureda Državnog ureda za reviziju, dok su druge jedinice lokalne i područne (regionalne) samouprave obvezne dostaviti na link izvještaja na e-mail područnog ureda Državnog ureda za reviziju na čijem području je sjedište jedinice. Sve e-mail adrese su objavljene na mrežnoj stranici Državnog ureda za reviziju , </w:t>
      </w:r>
      <w:hyperlink r:id="rId7" w:history="1">
        <w:r w:rsidRPr="0079451F">
          <w:rPr>
            <w:rFonts w:ascii="Times New Roman" w:eastAsia="Times New Roman" w:hAnsi="Times New Roman" w:cs="Times New Roman"/>
            <w:color w:val="0000FF"/>
            <w:sz w:val="24"/>
            <w:szCs w:val="24"/>
            <w:u w:val="single"/>
            <w:lang w:eastAsia="hr-HR"/>
          </w:rPr>
          <w:t>http://revizija.hr/hr/kontakt/</w:t>
        </w:r>
      </w:hyperlink>
      <w:r w:rsidRPr="0079451F">
        <w:rPr>
          <w:rFonts w:ascii="Times New Roman" w:eastAsia="Times New Roman" w:hAnsi="Times New Roman" w:cs="Times New Roman"/>
          <w:color w:val="0000FF"/>
          <w:sz w:val="24"/>
          <w:szCs w:val="24"/>
          <w:u w:val="single"/>
          <w:lang w:eastAsia="hr-HR"/>
        </w:rPr>
        <w:t>12</w:t>
      </w:r>
      <w:r w:rsidRPr="0079451F">
        <w:rPr>
          <w:rFonts w:ascii="Times New Roman" w:eastAsia="Times New Roman" w:hAnsi="Times New Roman" w:cs="Times New Roman"/>
          <w:sz w:val="24"/>
          <w:szCs w:val="24"/>
          <w:lang w:eastAsia="hr-HR"/>
        </w:rPr>
        <w:t>.</w:t>
      </w:r>
    </w:p>
    <w:p w14:paraId="5D40BF7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17FD690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6FB331F8" w14:textId="77777777" w:rsidR="0079451F" w:rsidRPr="0079451F" w:rsidRDefault="0079451F" w:rsidP="0079451F">
      <w:pPr>
        <w:suppressAutoHyphens/>
        <w:autoSpaceDN w:val="0"/>
        <w:spacing w:after="0" w:line="240" w:lineRule="auto"/>
        <w:ind w:firstLine="360"/>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4.9. Dostava proračunskih dokumenata Ministarstvu financija radi nadzora zakonitosti</w:t>
      </w:r>
    </w:p>
    <w:p w14:paraId="4890DDA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sz w:val="24"/>
          <w:szCs w:val="24"/>
          <w:lang w:eastAsia="hr-HR"/>
        </w:rPr>
      </w:pPr>
    </w:p>
    <w:p w14:paraId="7894DC9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Sukladno članku 79. Zakona o lokalnoj i područnoj (regionalnoj) samoupravi predsjednik</w:t>
      </w:r>
    </w:p>
    <w:p w14:paraId="01DF3CD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predstavničkog tijela jedinice lokalne i područne (regionalne) samouprave dužan je na ocjenu</w:t>
      </w:r>
    </w:p>
    <w:p w14:paraId="6C2CB4A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zakonitosti dostaviti statut, poslovnik, proračun ili drugi opći akt nadležnom tijelu državne</w:t>
      </w:r>
    </w:p>
    <w:p w14:paraId="0A1A5FC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uprave u čijem je djelokrugu opći akt zajedno sa izvatkom iz zapisnika koji se odnosi na</w:t>
      </w:r>
    </w:p>
    <w:p w14:paraId="30D842C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postupak donošenja općeg akta propisan statutom i poslovnikom, u roku od 15 dana od dana</w:t>
      </w:r>
    </w:p>
    <w:p w14:paraId="7387D4E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donošenja općeg akta.</w:t>
      </w:r>
    </w:p>
    <w:p w14:paraId="3D000D6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60F97D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Ministarstvo financija nadležno je za nadzor zakonitosti općih akata iz područja financija i</w:t>
      </w:r>
    </w:p>
    <w:p w14:paraId="5F3FED8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to:</w:t>
      </w:r>
    </w:p>
    <w:p w14:paraId="3287AA75" w14:textId="77777777" w:rsidR="0079451F" w:rsidRPr="0079451F" w:rsidRDefault="0079451F" w:rsidP="0079451F">
      <w:pPr>
        <w:numPr>
          <w:ilvl w:val="0"/>
          <w:numId w:val="4"/>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 xml:space="preserve">Proračuna za tekuću proračunsku godinu i projekcije za sljedeće dvije proračunske godine </w:t>
      </w:r>
    </w:p>
    <w:p w14:paraId="19A32B9D" w14:textId="77777777" w:rsidR="0079451F" w:rsidRPr="0079451F" w:rsidRDefault="0079451F" w:rsidP="0079451F">
      <w:pPr>
        <w:numPr>
          <w:ilvl w:val="0"/>
          <w:numId w:val="4"/>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 xml:space="preserve">Odluke o izvršavanju Proračuna jedinica lokalne i područne regionalne samouprave, te izmjene i dopune navedene odluke </w:t>
      </w:r>
    </w:p>
    <w:p w14:paraId="23CCE919" w14:textId="77777777" w:rsidR="0079451F" w:rsidRPr="0079451F" w:rsidRDefault="0079451F" w:rsidP="0079451F">
      <w:pPr>
        <w:numPr>
          <w:ilvl w:val="0"/>
          <w:numId w:val="4"/>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Izmjena i dopuna Proračuna</w:t>
      </w:r>
    </w:p>
    <w:p w14:paraId="07172D5E" w14:textId="77777777" w:rsidR="0079451F" w:rsidRPr="0079451F" w:rsidRDefault="0079451F" w:rsidP="0079451F">
      <w:pPr>
        <w:numPr>
          <w:ilvl w:val="0"/>
          <w:numId w:val="4"/>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Odluke o privremenom financiranju jedinica lokalne i područne regionalne samouprave</w:t>
      </w:r>
    </w:p>
    <w:p w14:paraId="1F3414FD" w14:textId="77777777" w:rsidR="0079451F" w:rsidRPr="0079451F" w:rsidRDefault="0079451F" w:rsidP="0079451F">
      <w:pPr>
        <w:numPr>
          <w:ilvl w:val="0"/>
          <w:numId w:val="4"/>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 xml:space="preserve">Odluke o porezima </w:t>
      </w:r>
    </w:p>
    <w:p w14:paraId="2C15FD5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2A4946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Nadzor zakonitosti akata od rednog broja 1. do 4. provodi Sektor za financijski i proračunski</w:t>
      </w:r>
    </w:p>
    <w:p w14:paraId="5EDDE3D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nadzor, dok nadzor zakonitosti akta pod rednim brojem 5. provodi Porezna uprava.</w:t>
      </w:r>
    </w:p>
    <w:p w14:paraId="0179D62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621CCD26" w14:textId="77777777" w:rsidR="001A20C8" w:rsidRDefault="0079451F" w:rsidP="0079451F">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79451F">
        <w:rPr>
          <w:rFonts w:ascii="Times New Roman" w:eastAsia="Times New Roman" w:hAnsi="Times New Roman" w:cs="Times New Roman"/>
          <w:color w:val="000000"/>
          <w:sz w:val="24"/>
          <w:szCs w:val="24"/>
          <w:lang w:eastAsia="hr-HR"/>
        </w:rPr>
        <w:lastRenderedPageBreak/>
        <w:t>Jedinice lokalne i područne (regionalne) samouprave u obvezi su proračun, odluku o</w:t>
      </w:r>
      <w:r w:rsidRPr="0079451F">
        <w:rPr>
          <w:rFonts w:ascii="Times New Roman" w:eastAsia="Times New Roman" w:hAnsi="Times New Roman" w:cs="Times New Roman"/>
          <w:color w:val="000000"/>
          <w:sz w:val="24"/>
          <w:szCs w:val="24"/>
          <w:lang w:eastAsia="hr-HR"/>
        </w:rPr>
        <w:br/>
        <w:t>izvršavanju proračuna, kao i izmjene i dopune proračuna te izmjene i dopune odluke o</w:t>
      </w:r>
      <w:r w:rsidRPr="0079451F">
        <w:rPr>
          <w:rFonts w:ascii="Times New Roman" w:eastAsia="Times New Roman" w:hAnsi="Times New Roman" w:cs="Times New Roman"/>
          <w:color w:val="000000"/>
          <w:sz w:val="24"/>
          <w:szCs w:val="24"/>
          <w:lang w:eastAsia="hr-HR"/>
        </w:rPr>
        <w:br/>
        <w:t>izvršavanju proračuna jedinica lokalne i područne (regionalne) samouprave dostaviti</w:t>
      </w:r>
      <w:r w:rsidRPr="0079451F">
        <w:rPr>
          <w:rFonts w:ascii="Times New Roman" w:eastAsia="Times New Roman" w:hAnsi="Times New Roman" w:cs="Times New Roman"/>
          <w:color w:val="000000"/>
          <w:sz w:val="24"/>
          <w:szCs w:val="24"/>
          <w:lang w:eastAsia="hr-HR"/>
        </w:rPr>
        <w:br/>
        <w:t xml:space="preserve">Ministarstvu financija u roku od 15 dana od dana njihova stupanja na snagu </w:t>
      </w:r>
      <w:r w:rsidRPr="0079451F">
        <w:rPr>
          <w:rFonts w:ascii="Times New Roman" w:eastAsia="Times New Roman" w:hAnsi="Times New Roman" w:cs="Times New Roman"/>
          <w:bCs/>
          <w:color w:val="000000"/>
          <w:sz w:val="24"/>
          <w:szCs w:val="24"/>
          <w:lang w:eastAsia="hr-HR"/>
        </w:rPr>
        <w:t>na adresu e-pošte</w:t>
      </w:r>
      <w:r w:rsidRPr="0079451F">
        <w:rPr>
          <w:rFonts w:ascii="Times New Roman" w:eastAsia="Times New Roman" w:hAnsi="Times New Roman" w:cs="Times New Roman"/>
          <w:bCs/>
          <w:color w:val="000000"/>
          <w:sz w:val="24"/>
          <w:szCs w:val="24"/>
          <w:lang w:eastAsia="hr-HR"/>
        </w:rPr>
        <w:br/>
      </w:r>
      <w:r w:rsidRPr="0079451F">
        <w:rPr>
          <w:rFonts w:ascii="Times New Roman" w:eastAsia="Times New Roman" w:hAnsi="Times New Roman" w:cs="Times New Roman"/>
          <w:bCs/>
          <w:color w:val="0000FF"/>
          <w:sz w:val="24"/>
          <w:szCs w:val="24"/>
          <w:lang w:eastAsia="hr-HR"/>
        </w:rPr>
        <w:t xml:space="preserve">nadzor.zakonitosti@mfin.hr </w:t>
      </w:r>
      <w:r w:rsidRPr="0079451F">
        <w:rPr>
          <w:rFonts w:ascii="Times New Roman" w:eastAsia="Times New Roman" w:hAnsi="Times New Roman" w:cs="Times New Roman"/>
          <w:bCs/>
          <w:color w:val="000000"/>
          <w:sz w:val="24"/>
          <w:szCs w:val="24"/>
          <w:lang w:eastAsia="hr-HR"/>
        </w:rPr>
        <w:t>u PDF formatu s potpisom odgovorne osobe i pečatom.</w:t>
      </w:r>
    </w:p>
    <w:p w14:paraId="734E5F05" w14:textId="77777777" w:rsidR="001A20C8" w:rsidRDefault="001A20C8" w:rsidP="0079451F">
      <w:pPr>
        <w:suppressAutoHyphens/>
        <w:autoSpaceDN w:val="0"/>
        <w:spacing w:after="0" w:line="240" w:lineRule="auto"/>
        <w:jc w:val="both"/>
        <w:rPr>
          <w:rFonts w:ascii="Times New Roman" w:eastAsia="Times New Roman" w:hAnsi="Times New Roman" w:cs="Times New Roman"/>
          <w:bCs/>
          <w:color w:val="000000"/>
          <w:sz w:val="24"/>
          <w:szCs w:val="24"/>
          <w:lang w:eastAsia="hr-HR"/>
        </w:rPr>
      </w:pPr>
    </w:p>
    <w:p w14:paraId="3EBF2DFF" w14:textId="58DC2C01" w:rsidR="001A20C8" w:rsidRPr="001A20C8" w:rsidRDefault="001A20C8" w:rsidP="0079451F">
      <w:pPr>
        <w:suppressAutoHyphens/>
        <w:autoSpaceDN w:val="0"/>
        <w:spacing w:after="0" w:line="240" w:lineRule="auto"/>
        <w:jc w:val="both"/>
        <w:rPr>
          <w:rFonts w:ascii="Times New Roman" w:eastAsia="Times New Roman" w:hAnsi="Times New Roman" w:cs="Times New Roman"/>
          <w:b/>
          <w:color w:val="000000"/>
          <w:sz w:val="24"/>
          <w:szCs w:val="24"/>
          <w:lang w:eastAsia="hr-HR"/>
        </w:rPr>
      </w:pPr>
      <w:r w:rsidRPr="001A20C8">
        <w:rPr>
          <w:rFonts w:ascii="Times New Roman" w:eastAsia="Times New Roman" w:hAnsi="Times New Roman" w:cs="Times New Roman"/>
          <w:b/>
          <w:color w:val="000000"/>
          <w:sz w:val="24"/>
          <w:szCs w:val="24"/>
          <w:lang w:eastAsia="hr-HR"/>
        </w:rPr>
        <w:t>NOVO!</w:t>
      </w:r>
    </w:p>
    <w:p w14:paraId="7695A967"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Tijekom 2026. godine Ministarstvo financija je u suradnji s Ministarstvom pravosuđa, uprave i</w:t>
      </w:r>
    </w:p>
    <w:p w14:paraId="6690BF30"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digitalne transformacije te svim jedinicama lokalne i regionalne samouprave završilo pilot fazu</w:t>
      </w:r>
    </w:p>
    <w:p w14:paraId="5A038E7F"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projekta vezanog uz unaprjeđenje procesa prikupljanja proračunskih dokumenata jedinica.</w:t>
      </w:r>
    </w:p>
    <w:p w14:paraId="557E73DB"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Tako su jedinice svoje proračunske dokumente tijekom svibnja i lipnja dostavile učitavanjem</w:t>
      </w:r>
    </w:p>
    <w:p w14:paraId="6F2F6A9A"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CSV datoteke u RKPFI aplikaciju i to:</w:t>
      </w:r>
    </w:p>
    <w:p w14:paraId="0919922E"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 Godišnji izvještaj o izvršenju proračuna za 2024. godinu</w:t>
      </w:r>
    </w:p>
    <w:p w14:paraId="3509A87B"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 Proračun jedinice lokalne i područne (regionalne) samouprave za 2025. godinu i</w:t>
      </w:r>
    </w:p>
    <w:p w14:paraId="4E91523F"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projekcije za 2026. i 2027. godinu</w:t>
      </w:r>
    </w:p>
    <w:p w14:paraId="380D1361"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 Sve izmjene i dopune proračuna jedinice lokalne i područne (regionalne) samouprave</w:t>
      </w:r>
    </w:p>
    <w:p w14:paraId="68AD3791"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za 2025. godinu i za 2026. godinu (ukoliko su usvojene)</w:t>
      </w:r>
    </w:p>
    <w:p w14:paraId="5839B2E1"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 Proračun jedinice lokalne i područne (regionalne) samouprave za 2026. godinu i</w:t>
      </w:r>
    </w:p>
    <w:p w14:paraId="38904F95"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projekcije za 2027. i 2028. godinu</w:t>
      </w:r>
    </w:p>
    <w:p w14:paraId="1349EBE9"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24</w:t>
      </w:r>
    </w:p>
    <w:p w14:paraId="15EC08E3" w14:textId="77777777" w:rsidR="001A20C8" w:rsidRPr="001A20C8" w:rsidRDefault="001A20C8" w:rsidP="001A20C8">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1A20C8">
        <w:rPr>
          <w:rFonts w:ascii="Times New Roman" w:eastAsia="Times New Roman" w:hAnsi="Times New Roman" w:cs="Times New Roman"/>
          <w:bCs/>
          <w:color w:val="000000"/>
          <w:sz w:val="24"/>
          <w:szCs w:val="24"/>
          <w:lang w:eastAsia="hr-HR"/>
        </w:rPr>
        <w:t>U 2027. godini jedinice i dalje svoje proračunske dokumente dostavljaju slanjem</w:t>
      </w:r>
    </w:p>
    <w:p w14:paraId="3A19F228" w14:textId="1B1DABA2" w:rsidR="0079451F" w:rsidRPr="0079451F" w:rsidRDefault="001A20C8" w:rsidP="001A20C8">
      <w:pPr>
        <w:suppressAutoHyphens/>
        <w:autoSpaceDN w:val="0"/>
        <w:spacing w:after="0" w:line="240" w:lineRule="auto"/>
        <w:jc w:val="both"/>
        <w:rPr>
          <w:rFonts w:ascii="Times New Roman" w:eastAsia="Times New Roman" w:hAnsi="Times New Roman" w:cs="Times New Roman"/>
          <w:sz w:val="24"/>
          <w:szCs w:val="24"/>
          <w:lang w:eastAsia="hr-HR"/>
        </w:rPr>
      </w:pPr>
      <w:r w:rsidRPr="001A20C8">
        <w:rPr>
          <w:rFonts w:ascii="Times New Roman" w:eastAsia="Times New Roman" w:hAnsi="Times New Roman" w:cs="Times New Roman"/>
          <w:bCs/>
          <w:color w:val="000000"/>
          <w:sz w:val="24"/>
          <w:szCs w:val="24"/>
          <w:lang w:eastAsia="hr-HR"/>
        </w:rPr>
        <w:t>poveznice e-poštom i paralelno učitavaju CSV datoteku u RKPFI aplikaciju.</w:t>
      </w:r>
      <w:r w:rsidR="0079451F" w:rsidRPr="0079451F">
        <w:rPr>
          <w:rFonts w:ascii="Times New Roman" w:eastAsia="Times New Roman" w:hAnsi="Times New Roman" w:cs="Times New Roman"/>
          <w:bCs/>
          <w:color w:val="000000"/>
          <w:sz w:val="24"/>
          <w:szCs w:val="24"/>
          <w:lang w:eastAsia="hr-HR"/>
        </w:rPr>
        <w:br/>
      </w:r>
    </w:p>
    <w:p w14:paraId="106BCDC4" w14:textId="77777777" w:rsidR="0079451F" w:rsidRPr="0079451F" w:rsidRDefault="0079451F" w:rsidP="0079451F">
      <w:pPr>
        <w:suppressAutoHyphens/>
        <w:autoSpaceDN w:val="0"/>
        <w:spacing w:after="0" w:line="240" w:lineRule="auto"/>
        <w:ind w:left="567"/>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4.10. Dostava ugovora o zaduženju te izvješća o zaduženju, danim jamstvima i suglasnostima (Obrazac IZJS)</w:t>
      </w:r>
    </w:p>
    <w:p w14:paraId="12C17FF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457F80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i/>
          <w:iCs/>
          <w:color w:val="000000"/>
          <w:sz w:val="24"/>
          <w:szCs w:val="24"/>
          <w:lang w:eastAsia="hr-HR"/>
        </w:rPr>
      </w:pPr>
      <w:r w:rsidRPr="0079451F">
        <w:rPr>
          <w:rFonts w:ascii="Times New Roman" w:eastAsia="Times New Roman" w:hAnsi="Times New Roman" w:cs="Times New Roman"/>
          <w:color w:val="000000"/>
          <w:sz w:val="24"/>
          <w:szCs w:val="24"/>
          <w:lang w:eastAsia="hr-HR"/>
        </w:rPr>
        <w:t>Člancima 123., 128. i 130. Zakona o proračunu i Pravilnikom o postupku dugoročnog</w:t>
      </w:r>
      <w:r w:rsidRPr="0079451F">
        <w:rPr>
          <w:rFonts w:ascii="Times New Roman" w:eastAsia="Times New Roman" w:hAnsi="Times New Roman" w:cs="Times New Roman"/>
          <w:color w:val="000000"/>
          <w:sz w:val="24"/>
          <w:szCs w:val="24"/>
          <w:lang w:eastAsia="hr-HR"/>
        </w:rPr>
        <w:br/>
        <w:t>zaduživanja te davanja jamstava i suglasnosti jedinica lokalne i područne (regionalne)</w:t>
      </w:r>
      <w:r w:rsidRPr="0079451F">
        <w:rPr>
          <w:rFonts w:ascii="Times New Roman" w:eastAsia="Times New Roman" w:hAnsi="Times New Roman" w:cs="Times New Roman"/>
          <w:color w:val="000000"/>
          <w:sz w:val="24"/>
          <w:szCs w:val="24"/>
          <w:lang w:eastAsia="hr-HR"/>
        </w:rPr>
        <w:br/>
        <w:t>samouprave (Narodne novine, br. 67/22) propisana je obveza i rok dostave Ministarstvu</w:t>
      </w:r>
      <w:r w:rsidRPr="0079451F">
        <w:rPr>
          <w:rFonts w:ascii="Times New Roman" w:eastAsia="Times New Roman" w:hAnsi="Times New Roman" w:cs="Times New Roman"/>
          <w:color w:val="000000"/>
          <w:sz w:val="24"/>
          <w:szCs w:val="24"/>
          <w:lang w:eastAsia="hr-HR"/>
        </w:rPr>
        <w:br/>
        <w:t>financija ugovora o zaduženju i izvješća o zaduženju, danim jamstvima i suglasnostima na</w:t>
      </w:r>
      <w:r w:rsidRPr="0079451F">
        <w:rPr>
          <w:rFonts w:ascii="Times New Roman" w:eastAsia="Times New Roman" w:hAnsi="Times New Roman" w:cs="Times New Roman"/>
          <w:color w:val="000000"/>
          <w:sz w:val="24"/>
          <w:szCs w:val="24"/>
          <w:lang w:eastAsia="hr-HR"/>
        </w:rPr>
        <w:br/>
      </w:r>
      <w:r w:rsidRPr="0079451F">
        <w:rPr>
          <w:rFonts w:ascii="Times New Roman" w:eastAsia="Times New Roman" w:hAnsi="Times New Roman" w:cs="Times New Roman"/>
          <w:i/>
          <w:iCs/>
          <w:color w:val="000000"/>
          <w:sz w:val="24"/>
          <w:szCs w:val="24"/>
          <w:lang w:eastAsia="hr-HR"/>
        </w:rPr>
        <w:t xml:space="preserve">Obrascu IZJS - Izvješće o dugoročnom zaduženju / jamstvu / suglasnosti. </w:t>
      </w:r>
    </w:p>
    <w:p w14:paraId="5DD4278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i/>
          <w:iCs/>
          <w:color w:val="000000"/>
          <w:sz w:val="24"/>
          <w:szCs w:val="24"/>
          <w:lang w:eastAsia="hr-HR"/>
        </w:rPr>
      </w:pPr>
    </w:p>
    <w:p w14:paraId="2EFE065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color w:val="000000"/>
          <w:sz w:val="24"/>
          <w:szCs w:val="24"/>
          <w:lang w:eastAsia="hr-HR"/>
        </w:rPr>
      </w:pPr>
      <w:r w:rsidRPr="0079451F">
        <w:rPr>
          <w:rFonts w:ascii="Times New Roman" w:eastAsia="Times New Roman" w:hAnsi="Times New Roman" w:cs="Times New Roman"/>
          <w:bCs/>
          <w:color w:val="000000"/>
          <w:sz w:val="24"/>
          <w:szCs w:val="24"/>
          <w:lang w:eastAsia="hr-HR"/>
        </w:rPr>
        <w:t xml:space="preserve">Skenirani ugovori i obrasci IZJS (s potpisom župana / gradonačelnika / načelnika i s pečatom) dostavljaju se na e-mail adresu Ministarstva financija </w:t>
      </w:r>
      <w:r w:rsidRPr="0079451F">
        <w:rPr>
          <w:rFonts w:ascii="Times New Roman" w:eastAsia="Times New Roman" w:hAnsi="Times New Roman" w:cs="Times New Roman"/>
          <w:bCs/>
          <w:color w:val="0000FF"/>
          <w:sz w:val="24"/>
          <w:szCs w:val="24"/>
          <w:lang w:eastAsia="hr-HR"/>
        </w:rPr>
        <w:t xml:space="preserve">lokalni.proracuni@mfin.hr </w:t>
      </w:r>
      <w:r w:rsidRPr="0079451F">
        <w:rPr>
          <w:rFonts w:ascii="Times New Roman" w:eastAsia="Times New Roman" w:hAnsi="Times New Roman" w:cs="Times New Roman"/>
          <w:bCs/>
          <w:color w:val="000000"/>
          <w:sz w:val="24"/>
          <w:szCs w:val="24"/>
          <w:lang w:eastAsia="hr-HR"/>
        </w:rPr>
        <w:t>u propisanom roku.</w:t>
      </w:r>
    </w:p>
    <w:p w14:paraId="62471C30" w14:textId="77777777" w:rsidR="0079451F" w:rsidRPr="0079451F" w:rsidRDefault="0079451F" w:rsidP="0079451F">
      <w:pPr>
        <w:suppressAutoHyphens/>
        <w:autoSpaceDN w:val="0"/>
        <w:spacing w:after="0" w:line="240" w:lineRule="auto"/>
        <w:jc w:val="both"/>
        <w:rPr>
          <w:rFonts w:ascii="Times New Roman" w:eastAsia="Calibri" w:hAnsi="Times New Roman" w:cs="Times New Roman"/>
          <w:color w:val="000000"/>
          <w:sz w:val="24"/>
          <w:szCs w:val="24"/>
        </w:rPr>
      </w:pPr>
    </w:p>
    <w:p w14:paraId="5D1147AF" w14:textId="77777777" w:rsidR="0079451F" w:rsidRPr="0079451F" w:rsidRDefault="0079451F" w:rsidP="0079451F">
      <w:pPr>
        <w:suppressAutoHyphens/>
        <w:autoSpaceDN w:val="0"/>
        <w:spacing w:after="0" w:line="240" w:lineRule="auto"/>
        <w:jc w:val="both"/>
        <w:rPr>
          <w:rFonts w:ascii="Times New Roman" w:eastAsia="Calibri" w:hAnsi="Times New Roman" w:cs="Times New Roman"/>
          <w:color w:val="000000"/>
          <w:sz w:val="24"/>
          <w:szCs w:val="24"/>
        </w:rPr>
      </w:pPr>
    </w:p>
    <w:p w14:paraId="7AF7F424" w14:textId="1E6332C9"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 xml:space="preserve">METODOLOGIJA ZA IZRADU FINANCIJSKOG PLANA  PRORAČUNSKOG KORISNIKA OPĆINE </w:t>
      </w:r>
      <w:r w:rsidR="008C1CF9">
        <w:rPr>
          <w:rFonts w:ascii="Times New Roman" w:eastAsia="Times New Roman" w:hAnsi="Times New Roman" w:cs="Times New Roman"/>
          <w:b/>
          <w:bCs/>
          <w:sz w:val="24"/>
          <w:szCs w:val="24"/>
          <w:lang w:eastAsia="hr-HR"/>
        </w:rPr>
        <w:t>PROMINA</w:t>
      </w:r>
    </w:p>
    <w:p w14:paraId="155DF4A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50806464" w14:textId="77FF9B46"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Sadržaj financijskog plana proračunskog korisnika Općine </w:t>
      </w:r>
      <w:r w:rsidR="006A5D49">
        <w:rPr>
          <w:rFonts w:ascii="Times New Roman" w:eastAsia="Times New Roman" w:hAnsi="Times New Roman" w:cs="Times New Roman"/>
          <w:b/>
          <w:sz w:val="24"/>
          <w:szCs w:val="24"/>
          <w:lang w:eastAsia="hr-HR"/>
        </w:rPr>
        <w:t>Promina</w:t>
      </w:r>
    </w:p>
    <w:p w14:paraId="68983E78" w14:textId="77777777" w:rsidR="0079451F" w:rsidRPr="0079451F" w:rsidRDefault="0079451F" w:rsidP="0079451F">
      <w:pPr>
        <w:suppressAutoHyphens/>
        <w:autoSpaceDN w:val="0"/>
        <w:spacing w:after="0" w:line="240" w:lineRule="auto"/>
        <w:ind w:left="567"/>
        <w:jc w:val="both"/>
        <w:rPr>
          <w:rFonts w:ascii="Times New Roman" w:eastAsia="Times New Roman" w:hAnsi="Times New Roman" w:cs="Times New Roman"/>
          <w:b/>
          <w:sz w:val="24"/>
          <w:szCs w:val="24"/>
          <w:lang w:eastAsia="hr-HR"/>
        </w:rPr>
      </w:pPr>
    </w:p>
    <w:p w14:paraId="33A1823F" w14:textId="3A1F240A"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Proračunski korisnik Općine </w:t>
      </w:r>
      <w:r w:rsidR="006A5D49">
        <w:rPr>
          <w:rFonts w:ascii="Times New Roman" w:eastAsia="Times New Roman" w:hAnsi="Times New Roman" w:cs="Times New Roman"/>
          <w:bCs/>
          <w:sz w:val="24"/>
          <w:szCs w:val="24"/>
          <w:lang w:eastAsia="hr-HR"/>
        </w:rPr>
        <w:t>Promina</w:t>
      </w:r>
      <w:r w:rsidRPr="0079451F">
        <w:rPr>
          <w:rFonts w:ascii="Times New Roman" w:eastAsia="Times New Roman" w:hAnsi="Times New Roman" w:cs="Times New Roman"/>
          <w:bCs/>
          <w:sz w:val="24"/>
          <w:szCs w:val="24"/>
          <w:lang w:eastAsia="hr-HR"/>
        </w:rPr>
        <w:t xml:space="preserve"> obvezan je izraditi financijski plan u skladu s odredbama Zakona o proračunu, Pravilnika o proračunskim klasifikacijama i Pravilnika o proračunskom računovodstvu i Računskom planu te se pridržavati ovih uputa.</w:t>
      </w:r>
    </w:p>
    <w:p w14:paraId="560E8001" w14:textId="1ECF6BEC"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Prijedlog financijskog plana proračunskog korisnika Općine Pr</w:t>
      </w:r>
      <w:r w:rsidR="008C1CF9">
        <w:rPr>
          <w:rFonts w:ascii="Times New Roman" w:eastAsia="Times New Roman" w:hAnsi="Times New Roman" w:cs="Times New Roman"/>
          <w:bCs/>
          <w:sz w:val="24"/>
          <w:szCs w:val="24"/>
          <w:lang w:eastAsia="hr-HR"/>
        </w:rPr>
        <w:t>omina</w:t>
      </w:r>
      <w:r w:rsidRPr="0079451F">
        <w:rPr>
          <w:rFonts w:ascii="Times New Roman" w:eastAsia="Times New Roman" w:hAnsi="Times New Roman" w:cs="Times New Roman"/>
          <w:bCs/>
          <w:sz w:val="24"/>
          <w:szCs w:val="24"/>
          <w:lang w:eastAsia="hr-HR"/>
        </w:rPr>
        <w:t xml:space="preserve"> za razdoblje od 202</w:t>
      </w:r>
      <w:r w:rsidR="006015B9">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do 202</w:t>
      </w:r>
      <w:r w:rsidR="006015B9">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godine sastoji se od plana za proračunsku godinu i projekcija za slijedeće dvije godine, a sadrže opći i posebni dio proračuna te obrazloženje financijskog plana.</w:t>
      </w:r>
    </w:p>
    <w:p w14:paraId="05518D6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24AA05CE" w14:textId="085414E0"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lastRenderedPageBreak/>
        <w:t>Proračunski korisnici jedinica lokalne i područne (regionalne) samouprave prihode i primitke, rashode i izdatke za 202</w:t>
      </w:r>
      <w:r w:rsidR="006015B9">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godinu planiraju na razini skupine (druga razina računskog plana), te isto i za  202</w:t>
      </w:r>
      <w:r w:rsidR="006015B9">
        <w:rPr>
          <w:rFonts w:ascii="Times New Roman" w:eastAsia="Times New Roman" w:hAnsi="Times New Roman" w:cs="Times New Roman"/>
          <w:bCs/>
          <w:sz w:val="24"/>
          <w:szCs w:val="24"/>
          <w:lang w:eastAsia="hr-HR"/>
        </w:rPr>
        <w:t>8</w:t>
      </w:r>
      <w:r w:rsidRPr="0079451F">
        <w:rPr>
          <w:rFonts w:ascii="Times New Roman" w:eastAsia="Times New Roman" w:hAnsi="Times New Roman" w:cs="Times New Roman"/>
          <w:bCs/>
          <w:sz w:val="24"/>
          <w:szCs w:val="24"/>
          <w:lang w:eastAsia="hr-HR"/>
        </w:rPr>
        <w:t>. i 202</w:t>
      </w:r>
      <w:r w:rsidR="006015B9">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xml:space="preserve">. godinu na razini skupine (druga razina računskog plana). </w:t>
      </w:r>
    </w:p>
    <w:p w14:paraId="29AD667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C40804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Uz  ekonomski i programsku klasifikaciju, proračunski korisnici jedinica lokalne i područne (regionalne) samouprave u izradi financijskog plana primjenjuju i klasifikaciju po izvorima financiranja. Izvori financiranja predstavljaju skupine prihoda i primitaka iz kojih se podmiruju rashodi i izdaci određene vrste i utvrđene namjene.</w:t>
      </w:r>
    </w:p>
    <w:p w14:paraId="5186F618" w14:textId="57321CB2" w:rsid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Temeljem zahtjeva nadležne jedinice, proračunski korisnici mogu izrađivati svoj financijski plan na razini odjeljka (četvrta i peta razina računskog plana). Međutim, upravno vijeće ili drugo upravljačko tijelo obavezno je usvojiti financijskim plan korisnika na razini skupine (druga razina računskog plana), te na isti način i projekcije za 202</w:t>
      </w:r>
      <w:r w:rsidR="006015B9">
        <w:rPr>
          <w:rFonts w:ascii="Times New Roman" w:eastAsia="Times New Roman" w:hAnsi="Times New Roman" w:cs="Times New Roman"/>
          <w:bCs/>
          <w:sz w:val="24"/>
          <w:szCs w:val="24"/>
          <w:lang w:eastAsia="hr-HR"/>
        </w:rPr>
        <w:t>8</w:t>
      </w:r>
      <w:r w:rsidRPr="0079451F">
        <w:rPr>
          <w:rFonts w:ascii="Times New Roman" w:eastAsia="Times New Roman" w:hAnsi="Times New Roman" w:cs="Times New Roman"/>
          <w:bCs/>
          <w:sz w:val="24"/>
          <w:szCs w:val="24"/>
          <w:lang w:eastAsia="hr-HR"/>
        </w:rPr>
        <w:t>. i 202</w:t>
      </w:r>
      <w:r w:rsidR="006015B9">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godinu na razini skupine (druga razina računskog plana.)</w:t>
      </w:r>
      <w:r w:rsidR="00504BB6">
        <w:rPr>
          <w:rFonts w:ascii="Times New Roman" w:eastAsia="Times New Roman" w:hAnsi="Times New Roman" w:cs="Times New Roman"/>
          <w:bCs/>
          <w:sz w:val="24"/>
          <w:szCs w:val="24"/>
          <w:lang w:eastAsia="hr-HR"/>
        </w:rPr>
        <w:t>.</w:t>
      </w:r>
    </w:p>
    <w:p w14:paraId="770C376F" w14:textId="77777777" w:rsidR="00504BB6" w:rsidRDefault="00504BB6"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F1DAD11" w14:textId="77777777" w:rsidR="00504BB6" w:rsidRDefault="00504BB6"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65B7CCA1" w14:textId="77777777" w:rsidR="00504BB6" w:rsidRPr="0079451F" w:rsidRDefault="00504BB6"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419BD4C1" w14:textId="77777777" w:rsid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9AD58A1" w14:textId="77777777" w:rsidR="008C1CF9" w:rsidRPr="0079451F" w:rsidRDefault="008C1CF9"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123DC86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Detaljan prikaz sadržaja financijskog plana proračunskog korisnika je sljedeći:</w:t>
      </w:r>
    </w:p>
    <w:p w14:paraId="673D0A07"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bl>
      <w:tblPr>
        <w:tblStyle w:val="Reetkatablice"/>
        <w:tblW w:w="0" w:type="auto"/>
        <w:tblLook w:val="04A0" w:firstRow="1" w:lastRow="0" w:firstColumn="1" w:lastColumn="0" w:noHBand="0" w:noVBand="1"/>
      </w:tblPr>
      <w:tblGrid>
        <w:gridCol w:w="2000"/>
        <w:gridCol w:w="3235"/>
        <w:gridCol w:w="3827"/>
      </w:tblGrid>
      <w:tr w:rsidR="0079451F" w:rsidRPr="0079451F" w14:paraId="68539EDC" w14:textId="77777777" w:rsidTr="0079451F">
        <w:tc>
          <w:tcPr>
            <w:tcW w:w="2093" w:type="dxa"/>
            <w:shd w:val="clear" w:color="auto" w:fill="D9D9D9"/>
          </w:tcPr>
          <w:p w14:paraId="2BB691C0"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SADRŽAJ</w:t>
            </w:r>
          </w:p>
        </w:tc>
        <w:tc>
          <w:tcPr>
            <w:tcW w:w="3544" w:type="dxa"/>
            <w:shd w:val="clear" w:color="auto" w:fill="D9D9D9"/>
          </w:tcPr>
          <w:p w14:paraId="1602391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SASTAVNI DIO</w:t>
            </w:r>
          </w:p>
        </w:tc>
        <w:tc>
          <w:tcPr>
            <w:tcW w:w="4217" w:type="dxa"/>
            <w:shd w:val="clear" w:color="auto" w:fill="D9D9D9"/>
          </w:tcPr>
          <w:p w14:paraId="6E55B026"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OPIS SASTAVNOG DIJELA</w:t>
            </w:r>
          </w:p>
        </w:tc>
      </w:tr>
      <w:tr w:rsidR="0079451F" w:rsidRPr="0079451F" w14:paraId="2D12058F" w14:textId="77777777" w:rsidTr="00826F4B">
        <w:trPr>
          <w:trHeight w:val="165"/>
        </w:trPr>
        <w:tc>
          <w:tcPr>
            <w:tcW w:w="2093" w:type="dxa"/>
            <w:vMerge w:val="restart"/>
            <w:vAlign w:val="center"/>
          </w:tcPr>
          <w:p w14:paraId="6B023DE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00DBAE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Opći dio financijskog plana</w:t>
            </w:r>
          </w:p>
          <w:p w14:paraId="39C8370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0F35B09"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22F8462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3544" w:type="dxa"/>
          </w:tcPr>
          <w:p w14:paraId="29A836DD"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54D76F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77D9511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6708F97B"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Sažetak Računa prihoda i rashoda</w:t>
            </w:r>
          </w:p>
          <w:p w14:paraId="5E57D5F3"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Sažetak Računa financiranja</w:t>
            </w:r>
          </w:p>
          <w:p w14:paraId="6AB7A530"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4217" w:type="dxa"/>
            <w:vAlign w:val="center"/>
          </w:tcPr>
          <w:p w14:paraId="22492171"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ukupni prihodi poslovanja i prihodi od prodaje nefinancijske imovine,</w:t>
            </w:r>
            <w:r w:rsidRPr="0079451F">
              <w:rPr>
                <w:rFonts w:ascii="Times New Roman" w:eastAsia="Times New Roman" w:hAnsi="Times New Roman" w:cs="Times New Roman"/>
                <w:bCs/>
                <w:sz w:val="24"/>
                <w:szCs w:val="24"/>
                <w:lang w:eastAsia="hr-HR"/>
              </w:rPr>
              <w:br/>
              <w:t>ukupni  rashodi poslovanja i rashodi za nabavu nefinancijske imovine</w:t>
            </w:r>
          </w:p>
          <w:p w14:paraId="6A94C151"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ukupni primici od financijske imovine i zaduživanja i izdaci za financijsku imovinu i otplate zajmova</w:t>
            </w:r>
          </w:p>
          <w:p w14:paraId="67C93563"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r>
      <w:tr w:rsidR="0079451F" w:rsidRPr="0079451F" w14:paraId="147C70C0" w14:textId="77777777" w:rsidTr="00826F4B">
        <w:trPr>
          <w:trHeight w:val="165"/>
        </w:trPr>
        <w:tc>
          <w:tcPr>
            <w:tcW w:w="2093" w:type="dxa"/>
            <w:vMerge/>
          </w:tcPr>
          <w:p w14:paraId="276C1CB0"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3544" w:type="dxa"/>
            <w:vAlign w:val="center"/>
          </w:tcPr>
          <w:p w14:paraId="7995485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Račun prihoda i rashoda</w:t>
            </w:r>
          </w:p>
        </w:tc>
        <w:tc>
          <w:tcPr>
            <w:tcW w:w="4217" w:type="dxa"/>
          </w:tcPr>
          <w:p w14:paraId="6F04A7CA"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ukupni prihodi i rashodi iskazani prema izvorima financiranja i ekonomskoj klasifikaciji na razini skupine</w:t>
            </w:r>
            <w:r w:rsidRPr="0079451F">
              <w:rPr>
                <w:rFonts w:ascii="Times New Roman" w:eastAsia="Times New Roman" w:hAnsi="Times New Roman" w:cs="Times New Roman"/>
                <w:bCs/>
                <w:sz w:val="24"/>
                <w:szCs w:val="24"/>
                <w:lang w:eastAsia="hr-HR"/>
              </w:rPr>
              <w:br/>
              <w:t>- ukupni rashodi iskazani prema funkcijskoj klasifikaciji</w:t>
            </w:r>
          </w:p>
          <w:p w14:paraId="20A5D22B"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
                <w:bCs/>
                <w:sz w:val="24"/>
                <w:szCs w:val="24"/>
                <w:lang w:eastAsia="hr-HR"/>
              </w:rPr>
            </w:pPr>
          </w:p>
        </w:tc>
      </w:tr>
      <w:tr w:rsidR="0079451F" w:rsidRPr="0079451F" w14:paraId="7E0694F4" w14:textId="77777777" w:rsidTr="00826F4B">
        <w:trPr>
          <w:trHeight w:val="165"/>
        </w:trPr>
        <w:tc>
          <w:tcPr>
            <w:tcW w:w="2093" w:type="dxa"/>
            <w:vMerge/>
          </w:tcPr>
          <w:p w14:paraId="04FE20EA"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3544" w:type="dxa"/>
          </w:tcPr>
          <w:p w14:paraId="24415619"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7990D38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4410933A"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Račun financiranja</w:t>
            </w:r>
          </w:p>
        </w:tc>
        <w:tc>
          <w:tcPr>
            <w:tcW w:w="4217" w:type="dxa"/>
            <w:vAlign w:val="center"/>
          </w:tcPr>
          <w:p w14:paraId="4AECEB2A"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ukupni primici od financijske imovine i zaduživanja i izdaci za financijsku imovinu i otplate instrumenata zaduživanja prema izvorima financiranja i ekonomskoj klasifikaciji na razini skupine</w:t>
            </w:r>
          </w:p>
        </w:tc>
      </w:tr>
      <w:tr w:rsidR="0079451F" w:rsidRPr="0079451F" w14:paraId="1991BA4E" w14:textId="77777777" w:rsidTr="00826F4B">
        <w:trPr>
          <w:trHeight w:val="165"/>
        </w:trPr>
        <w:tc>
          <w:tcPr>
            <w:tcW w:w="2093" w:type="dxa"/>
            <w:vMerge/>
          </w:tcPr>
          <w:p w14:paraId="5D8D47A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3544" w:type="dxa"/>
          </w:tcPr>
          <w:p w14:paraId="1002CAFB"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631B595"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Preneseni višak ili preneseni manjak prihoda nad rashodima</w:t>
            </w:r>
          </w:p>
        </w:tc>
        <w:tc>
          <w:tcPr>
            <w:tcW w:w="4217" w:type="dxa"/>
          </w:tcPr>
          <w:p w14:paraId="4C0FEA06"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ako ukupni prihodi i primici nisu jednaki ukupnim rashodima i izdacima, opći dio proračuna sadrži i preneseni višak ili preneseni manjak prihoda nad rashodima</w:t>
            </w:r>
          </w:p>
        </w:tc>
      </w:tr>
      <w:tr w:rsidR="0079451F" w:rsidRPr="0079451F" w14:paraId="3BFEF168" w14:textId="77777777" w:rsidTr="00826F4B">
        <w:trPr>
          <w:trHeight w:val="165"/>
        </w:trPr>
        <w:tc>
          <w:tcPr>
            <w:tcW w:w="2093" w:type="dxa"/>
            <w:vMerge/>
          </w:tcPr>
          <w:p w14:paraId="06A4F8D0"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3544" w:type="dxa"/>
          </w:tcPr>
          <w:p w14:paraId="01E9F911"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0804A8D1"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5CD10C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17096B4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F64D71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A9D2AF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A86C8E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Višegodišnji plan uravnoteženja</w:t>
            </w:r>
          </w:p>
        </w:tc>
        <w:tc>
          <w:tcPr>
            <w:tcW w:w="4217" w:type="dxa"/>
          </w:tcPr>
          <w:p w14:paraId="5FD6516F"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lastRenderedPageBreak/>
              <w:t xml:space="preserve">- ako proračunski korisnik ne može preneseni manjak podmiriti do kraja proračunske godine, obvezan je </w:t>
            </w:r>
            <w:r w:rsidRPr="0079451F">
              <w:rPr>
                <w:rFonts w:ascii="Times New Roman" w:eastAsia="Times New Roman" w:hAnsi="Times New Roman" w:cs="Times New Roman"/>
                <w:bCs/>
                <w:sz w:val="24"/>
                <w:szCs w:val="24"/>
                <w:lang w:eastAsia="hr-HR"/>
              </w:rPr>
              <w:lastRenderedPageBreak/>
              <w:t>izraditi višegodišnji plan uravnoteženja za razdoblje za koje se financijski plan donosi</w:t>
            </w:r>
            <w:r w:rsidRPr="0079451F">
              <w:rPr>
                <w:rFonts w:ascii="Times New Roman" w:eastAsia="Times New Roman" w:hAnsi="Times New Roman" w:cs="Times New Roman"/>
                <w:bCs/>
                <w:sz w:val="24"/>
                <w:szCs w:val="24"/>
                <w:lang w:eastAsia="hr-HR"/>
              </w:rPr>
              <w:br/>
              <w:t>- ako proračunski korisnik ne može preneseni višak, zbog njegove veličine, u cijelosti iskoristiti u jednoj proračunskoj godini, korištenje viška planira se višegodišnjim planom uravnoteženja za razdoblje za koje se financijski plan donosi</w:t>
            </w:r>
          </w:p>
        </w:tc>
      </w:tr>
      <w:tr w:rsidR="0079451F" w:rsidRPr="0079451F" w14:paraId="5B9B9599" w14:textId="77777777" w:rsidTr="00826F4B">
        <w:tc>
          <w:tcPr>
            <w:tcW w:w="2093" w:type="dxa"/>
          </w:tcPr>
          <w:p w14:paraId="3E7FF3B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4DB520D3"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8B90FBA"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Posebni dio financijskog plana</w:t>
            </w:r>
          </w:p>
        </w:tc>
        <w:tc>
          <w:tcPr>
            <w:tcW w:w="3544" w:type="dxa"/>
          </w:tcPr>
          <w:p w14:paraId="2E9D1A9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C11689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22E67E5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Plan rashoda i izdataka proračunskih korisnika</w:t>
            </w:r>
          </w:p>
        </w:tc>
        <w:tc>
          <w:tcPr>
            <w:tcW w:w="4217" w:type="dxa"/>
          </w:tcPr>
          <w:p w14:paraId="7F899164"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rashodi i izdaci iskazani po</w:t>
            </w:r>
            <w:r w:rsidRPr="0079451F">
              <w:rPr>
                <w:rFonts w:ascii="Times New Roman" w:eastAsia="Times New Roman" w:hAnsi="Times New Roman" w:cs="Times New Roman"/>
                <w:bCs/>
                <w:sz w:val="24"/>
                <w:szCs w:val="24"/>
                <w:lang w:eastAsia="hr-HR"/>
              </w:rPr>
              <w:br/>
              <w:t>izvorima financiranja i ekonomskoj klasifikaciji na razini skupine, raspoređeni u programe koji se sastoje od aktivnosti i projekata</w:t>
            </w:r>
          </w:p>
        </w:tc>
      </w:tr>
      <w:tr w:rsidR="0079451F" w:rsidRPr="0079451F" w14:paraId="054ED31B" w14:textId="77777777" w:rsidTr="00826F4B">
        <w:tc>
          <w:tcPr>
            <w:tcW w:w="2093" w:type="dxa"/>
          </w:tcPr>
          <w:p w14:paraId="7AC6FA8D"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E86E99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58BCDF36"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60CBF6C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0BC71A2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7043B05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6FD1202B"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Obrazloženje financijskog plana</w:t>
            </w:r>
          </w:p>
        </w:tc>
        <w:tc>
          <w:tcPr>
            <w:tcW w:w="3544" w:type="dxa"/>
          </w:tcPr>
          <w:p w14:paraId="44CC09BB"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629E2B5D"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68F28638"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3B1400B7"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096C3550"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p w14:paraId="174606D2"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Obrazloženje općeg dijela financijskog plana i obrazloženje posebnog dijela financijskog plana</w:t>
            </w:r>
          </w:p>
          <w:p w14:paraId="74806813"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p>
        </w:tc>
        <w:tc>
          <w:tcPr>
            <w:tcW w:w="4217" w:type="dxa"/>
          </w:tcPr>
          <w:p w14:paraId="7D258D2C"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obrazloženje općeg dijela financijskog plana sadrži obrazloženje prihoda i rashoda, primitaka i izdataka te obrazloženje prenesenog manjka odnosno viška financijskog plana</w:t>
            </w:r>
          </w:p>
          <w:p w14:paraId="24A5BCF5" w14:textId="77777777" w:rsidR="0079451F" w:rsidRPr="0079451F" w:rsidRDefault="0079451F" w:rsidP="0079451F">
            <w:pPr>
              <w:suppressAutoHyphens/>
              <w:autoSpaceDN w:val="0"/>
              <w:spacing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obrazloženje posebnog dijela financijskog plana sastoji se od obrazloženja programa koje se daje kroz obrazloženje aktivnosti i projekata zajedno s ciljevima i pokazateljima uspješnosti iz akata strateškog planiranja i godišnjeg plana rada</w:t>
            </w:r>
          </w:p>
        </w:tc>
      </w:tr>
    </w:tbl>
    <w:p w14:paraId="3C056CF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3731A4A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06879177" w14:textId="4105C306"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 xml:space="preserve">Rokovi za predlaganje i donošenje financijskog plana proračunskog korisnika Općine </w:t>
      </w:r>
      <w:r w:rsidR="006A5D49">
        <w:rPr>
          <w:rFonts w:ascii="Times New Roman" w:eastAsia="Times New Roman" w:hAnsi="Times New Roman" w:cs="Times New Roman"/>
          <w:b/>
          <w:bCs/>
          <w:sz w:val="24"/>
          <w:szCs w:val="24"/>
          <w:lang w:eastAsia="hr-HR"/>
        </w:rPr>
        <w:t>Promina</w:t>
      </w:r>
    </w:p>
    <w:p w14:paraId="19E42513" w14:textId="77777777" w:rsidR="0079451F" w:rsidRPr="0079451F" w:rsidRDefault="0079451F" w:rsidP="0079451F">
      <w:pPr>
        <w:suppressAutoHyphens/>
        <w:autoSpaceDN w:val="0"/>
        <w:spacing w:after="0" w:line="240" w:lineRule="auto"/>
        <w:ind w:left="360"/>
        <w:jc w:val="both"/>
        <w:rPr>
          <w:rFonts w:ascii="Times New Roman" w:eastAsia="Times New Roman" w:hAnsi="Times New Roman" w:cs="Times New Roman"/>
          <w:b/>
          <w:bCs/>
          <w:sz w:val="24"/>
          <w:szCs w:val="24"/>
          <w:lang w:eastAsia="hr-HR"/>
        </w:rPr>
      </w:pPr>
    </w:p>
    <w:p w14:paraId="606F0F22" w14:textId="58243D0D"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Rokovi za predlaganje i donošenje financijskog plana proračunskog korisnika Općine </w:t>
      </w:r>
      <w:r w:rsidR="006A5D49">
        <w:rPr>
          <w:rFonts w:ascii="Times New Roman" w:eastAsia="Times New Roman" w:hAnsi="Times New Roman" w:cs="Times New Roman"/>
          <w:bCs/>
          <w:sz w:val="24"/>
          <w:szCs w:val="24"/>
          <w:lang w:eastAsia="hr-HR"/>
        </w:rPr>
        <w:t>Promina</w:t>
      </w:r>
    </w:p>
    <w:p w14:paraId="1FA4854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2230"/>
        <w:gridCol w:w="2302"/>
        <w:gridCol w:w="2288"/>
      </w:tblGrid>
      <w:tr w:rsidR="008C1CF9" w:rsidRPr="0079451F" w14:paraId="26237B54" w14:textId="77777777" w:rsidTr="00826F4B">
        <w:tc>
          <w:tcPr>
            <w:tcW w:w="2361" w:type="dxa"/>
          </w:tcPr>
          <w:p w14:paraId="0599232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TKO?</w:t>
            </w:r>
          </w:p>
        </w:tc>
        <w:tc>
          <w:tcPr>
            <w:tcW w:w="2362" w:type="dxa"/>
          </w:tcPr>
          <w:p w14:paraId="5EE5368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KOME?</w:t>
            </w:r>
          </w:p>
        </w:tc>
        <w:tc>
          <w:tcPr>
            <w:tcW w:w="2367" w:type="dxa"/>
          </w:tcPr>
          <w:p w14:paraId="1A6A945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PREPORUČENI ROK</w:t>
            </w:r>
          </w:p>
        </w:tc>
        <w:tc>
          <w:tcPr>
            <w:tcW w:w="2366" w:type="dxa"/>
          </w:tcPr>
          <w:p w14:paraId="05C9B4A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NAPOMENA</w:t>
            </w:r>
          </w:p>
        </w:tc>
      </w:tr>
      <w:tr w:rsidR="008C1CF9" w:rsidRPr="0079451F" w14:paraId="23EDFA3A" w14:textId="77777777" w:rsidTr="00826F4B">
        <w:trPr>
          <w:trHeight w:val="1094"/>
        </w:trPr>
        <w:tc>
          <w:tcPr>
            <w:tcW w:w="2361" w:type="dxa"/>
            <w:vAlign w:val="center"/>
          </w:tcPr>
          <w:p w14:paraId="3A3EFC2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Ravnateljica dječjeg vrtića</w:t>
            </w:r>
          </w:p>
        </w:tc>
        <w:tc>
          <w:tcPr>
            <w:tcW w:w="2362" w:type="dxa"/>
            <w:vAlign w:val="center"/>
          </w:tcPr>
          <w:p w14:paraId="1D5BB48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Upravnom vijeću dječjeg vrtića</w:t>
            </w:r>
          </w:p>
        </w:tc>
        <w:tc>
          <w:tcPr>
            <w:tcW w:w="2367" w:type="dxa"/>
            <w:vMerge w:val="restart"/>
            <w:vAlign w:val="center"/>
          </w:tcPr>
          <w:p w14:paraId="6228F1B6" w14:textId="6F95D613"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0</w:t>
            </w:r>
            <w:r w:rsidR="008C1CF9">
              <w:rPr>
                <w:rFonts w:ascii="Times New Roman" w:eastAsia="Times New Roman" w:hAnsi="Times New Roman" w:cs="Times New Roman"/>
                <w:bCs/>
                <w:sz w:val="24"/>
                <w:szCs w:val="24"/>
                <w:lang w:eastAsia="hr-HR"/>
              </w:rPr>
              <w:t>2</w:t>
            </w:r>
            <w:r w:rsidRPr="0079451F">
              <w:rPr>
                <w:rFonts w:ascii="Times New Roman" w:eastAsia="Times New Roman" w:hAnsi="Times New Roman" w:cs="Times New Roman"/>
                <w:bCs/>
                <w:sz w:val="24"/>
                <w:szCs w:val="24"/>
                <w:lang w:eastAsia="hr-HR"/>
              </w:rPr>
              <w:t>. studenog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w:t>
            </w:r>
          </w:p>
          <w:p w14:paraId="57CDB11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c>
        <w:tc>
          <w:tcPr>
            <w:tcW w:w="2366" w:type="dxa"/>
            <w:vMerge w:val="restart"/>
          </w:tcPr>
          <w:p w14:paraId="090F1D91" w14:textId="16F07C2C" w:rsidR="0079451F" w:rsidRPr="0079451F" w:rsidRDefault="0079451F" w:rsidP="0079451F">
            <w:pPr>
              <w:suppressAutoHyphens/>
              <w:autoSpaceDN w:val="0"/>
              <w:spacing w:after="0" w:line="240" w:lineRule="auto"/>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Prije dostave prijedloga financijskog plana Općini Pr</w:t>
            </w:r>
            <w:r w:rsidR="008C1CF9">
              <w:rPr>
                <w:rFonts w:ascii="Times New Roman" w:eastAsia="Times New Roman" w:hAnsi="Times New Roman" w:cs="Times New Roman"/>
                <w:bCs/>
                <w:sz w:val="24"/>
                <w:szCs w:val="24"/>
                <w:lang w:eastAsia="hr-HR"/>
              </w:rPr>
              <w:t>omina</w:t>
            </w:r>
            <w:r w:rsidRPr="0079451F">
              <w:rPr>
                <w:rFonts w:ascii="Times New Roman" w:eastAsia="Times New Roman" w:hAnsi="Times New Roman" w:cs="Times New Roman"/>
                <w:bCs/>
                <w:sz w:val="24"/>
                <w:szCs w:val="24"/>
                <w:lang w:eastAsia="hr-HR"/>
              </w:rPr>
              <w:t>, čelnik proračunskog korisnika obvezan je prijedlog financijskog plana uputiti upravljačkom tijelu na usvajanje</w:t>
            </w:r>
          </w:p>
        </w:tc>
      </w:tr>
      <w:tr w:rsidR="008C1CF9" w:rsidRPr="0079451F" w14:paraId="57DD98C5" w14:textId="77777777" w:rsidTr="00826F4B">
        <w:tc>
          <w:tcPr>
            <w:tcW w:w="2361" w:type="dxa"/>
          </w:tcPr>
          <w:p w14:paraId="7BA53F8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D835B0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3475FD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 xml:space="preserve">Proračunski </w:t>
            </w:r>
            <w:proofErr w:type="spellStart"/>
            <w:r w:rsidRPr="0079451F">
              <w:rPr>
                <w:rFonts w:ascii="Times New Roman" w:eastAsia="Times New Roman" w:hAnsi="Times New Roman" w:cs="Times New Roman"/>
                <w:bCs/>
                <w:sz w:val="24"/>
                <w:szCs w:val="24"/>
                <w:lang w:eastAsia="hr-HR"/>
              </w:rPr>
              <w:t>korsnik</w:t>
            </w:r>
            <w:proofErr w:type="spellEnd"/>
            <w:r w:rsidRPr="0079451F">
              <w:rPr>
                <w:rFonts w:ascii="Times New Roman" w:eastAsia="Times New Roman" w:hAnsi="Times New Roman" w:cs="Times New Roman"/>
                <w:bCs/>
                <w:sz w:val="24"/>
                <w:szCs w:val="24"/>
                <w:lang w:eastAsia="hr-HR"/>
              </w:rPr>
              <w:t xml:space="preserve"> Dječji vrtić </w:t>
            </w:r>
          </w:p>
        </w:tc>
        <w:tc>
          <w:tcPr>
            <w:tcW w:w="2362" w:type="dxa"/>
          </w:tcPr>
          <w:p w14:paraId="6434046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3A99F30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3F0E58CC" w14:textId="6A173B43" w:rsidR="0079451F" w:rsidRPr="0079451F" w:rsidRDefault="008C1CF9" w:rsidP="0079451F">
            <w:pPr>
              <w:suppressAutoHyphens/>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Upravnom odjelu za društvene djelatnosti, proračun, financije, nadzor i javne prihode</w:t>
            </w:r>
          </w:p>
        </w:tc>
        <w:tc>
          <w:tcPr>
            <w:tcW w:w="2367" w:type="dxa"/>
            <w:vMerge/>
          </w:tcPr>
          <w:p w14:paraId="2471557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c>
        <w:tc>
          <w:tcPr>
            <w:tcW w:w="2366" w:type="dxa"/>
            <w:vMerge/>
          </w:tcPr>
          <w:p w14:paraId="2AE96BE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c>
      </w:tr>
      <w:tr w:rsidR="008C1CF9" w:rsidRPr="0079451F" w14:paraId="0A9EC53F" w14:textId="77777777" w:rsidTr="00826F4B">
        <w:tc>
          <w:tcPr>
            <w:tcW w:w="2361" w:type="dxa"/>
          </w:tcPr>
          <w:p w14:paraId="6B3A9036" w14:textId="01118C7A" w:rsidR="0079451F" w:rsidRPr="0079451F" w:rsidRDefault="008C1CF9"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8C1CF9">
              <w:rPr>
                <w:rFonts w:ascii="Times New Roman" w:eastAsia="Times New Roman" w:hAnsi="Times New Roman" w:cs="Times New Roman"/>
                <w:bCs/>
                <w:sz w:val="24"/>
                <w:szCs w:val="24"/>
                <w:lang w:eastAsia="hr-HR"/>
              </w:rPr>
              <w:lastRenderedPageBreak/>
              <w:t>Upravn</w:t>
            </w:r>
            <w:r>
              <w:rPr>
                <w:rFonts w:ascii="Times New Roman" w:eastAsia="Times New Roman" w:hAnsi="Times New Roman" w:cs="Times New Roman"/>
                <w:bCs/>
                <w:sz w:val="24"/>
                <w:szCs w:val="24"/>
                <w:lang w:eastAsia="hr-HR"/>
              </w:rPr>
              <w:t>i</w:t>
            </w:r>
            <w:r w:rsidRPr="008C1CF9">
              <w:rPr>
                <w:rFonts w:ascii="Times New Roman" w:eastAsia="Times New Roman" w:hAnsi="Times New Roman" w:cs="Times New Roman"/>
                <w:bCs/>
                <w:sz w:val="24"/>
                <w:szCs w:val="24"/>
                <w:lang w:eastAsia="hr-HR"/>
              </w:rPr>
              <w:t xml:space="preserve"> odjel za društvene djelatnosti, proračun, financije, nadzor i javne prihode</w:t>
            </w:r>
          </w:p>
        </w:tc>
        <w:tc>
          <w:tcPr>
            <w:tcW w:w="2362" w:type="dxa"/>
          </w:tcPr>
          <w:p w14:paraId="40BB4EDE"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6CCD802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Općinskom načelniku</w:t>
            </w:r>
          </w:p>
        </w:tc>
        <w:tc>
          <w:tcPr>
            <w:tcW w:w="2367" w:type="dxa"/>
          </w:tcPr>
          <w:p w14:paraId="22BB1CE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F50D31C" w14:textId="2D3914C0"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05. studenog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w:t>
            </w:r>
          </w:p>
        </w:tc>
        <w:tc>
          <w:tcPr>
            <w:tcW w:w="2366" w:type="dxa"/>
          </w:tcPr>
          <w:p w14:paraId="5ABFC96A" w14:textId="1946DF71"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UO izrađuje nacrt proračuna te ga dostavlja načelniku</w:t>
            </w:r>
          </w:p>
        </w:tc>
      </w:tr>
      <w:tr w:rsidR="008C1CF9" w:rsidRPr="0079451F" w14:paraId="18F9AC49" w14:textId="77777777" w:rsidTr="00826F4B">
        <w:tc>
          <w:tcPr>
            <w:tcW w:w="2361" w:type="dxa"/>
          </w:tcPr>
          <w:p w14:paraId="0801BE4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45ED931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462FD4E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Općinski načelnik</w:t>
            </w:r>
          </w:p>
        </w:tc>
        <w:tc>
          <w:tcPr>
            <w:tcW w:w="2362" w:type="dxa"/>
          </w:tcPr>
          <w:p w14:paraId="3406B68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095E78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11E041F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Općinskom vijeću</w:t>
            </w:r>
          </w:p>
        </w:tc>
        <w:tc>
          <w:tcPr>
            <w:tcW w:w="2367" w:type="dxa"/>
          </w:tcPr>
          <w:p w14:paraId="634FA0B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0D52E6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0D615A0B" w14:textId="361264D1"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15. studenog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w:t>
            </w:r>
          </w:p>
        </w:tc>
        <w:tc>
          <w:tcPr>
            <w:tcW w:w="2366" w:type="dxa"/>
          </w:tcPr>
          <w:p w14:paraId="6AC815D0" w14:textId="77777777" w:rsidR="0079451F" w:rsidRPr="0079451F" w:rsidRDefault="0079451F" w:rsidP="0079451F">
            <w:pPr>
              <w:suppressAutoHyphens/>
              <w:autoSpaceDN w:val="0"/>
              <w:spacing w:after="0" w:line="240" w:lineRule="auto"/>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Načelnik utvrđuje prijedlog proračuna i podnosi ga predstavničkom tijelu na donošenje</w:t>
            </w:r>
          </w:p>
        </w:tc>
      </w:tr>
      <w:tr w:rsidR="008C1CF9" w:rsidRPr="0079451F" w14:paraId="6837A33C" w14:textId="77777777" w:rsidTr="00826F4B">
        <w:tc>
          <w:tcPr>
            <w:tcW w:w="2361" w:type="dxa"/>
          </w:tcPr>
          <w:p w14:paraId="3D5334F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3C24271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1FCC079"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6870CC5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4A5C963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Općinsko vijeće</w:t>
            </w:r>
          </w:p>
        </w:tc>
        <w:tc>
          <w:tcPr>
            <w:tcW w:w="2362" w:type="dxa"/>
          </w:tcPr>
          <w:p w14:paraId="5CFB05E1"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c>
        <w:tc>
          <w:tcPr>
            <w:tcW w:w="2367" w:type="dxa"/>
          </w:tcPr>
          <w:p w14:paraId="251D8366"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846A0CA"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4893633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951016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13AEB10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2FC9CAEF" w14:textId="2ADFA1C5"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do kraja tekuće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w:t>
            </w:r>
          </w:p>
        </w:tc>
        <w:tc>
          <w:tcPr>
            <w:tcW w:w="2366" w:type="dxa"/>
          </w:tcPr>
          <w:p w14:paraId="6B7AFC8D" w14:textId="70BEF946" w:rsidR="0079451F" w:rsidRPr="0079451F" w:rsidRDefault="0079451F" w:rsidP="0079451F">
            <w:pPr>
              <w:suppressAutoHyphens/>
              <w:autoSpaceDN w:val="0"/>
              <w:spacing w:after="0" w:line="240" w:lineRule="auto"/>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Predstavničko tijelo donosi proračun za 202</w:t>
            </w:r>
            <w:r w:rsidR="006015B9">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godinu i projekcije za 202</w:t>
            </w:r>
            <w:r w:rsidR="006015B9">
              <w:rPr>
                <w:rFonts w:ascii="Times New Roman" w:eastAsia="Times New Roman" w:hAnsi="Times New Roman" w:cs="Times New Roman"/>
                <w:bCs/>
                <w:sz w:val="24"/>
                <w:szCs w:val="24"/>
                <w:lang w:eastAsia="hr-HR"/>
              </w:rPr>
              <w:t>8</w:t>
            </w:r>
            <w:r w:rsidRPr="0079451F">
              <w:rPr>
                <w:rFonts w:ascii="Times New Roman" w:eastAsia="Times New Roman" w:hAnsi="Times New Roman" w:cs="Times New Roman"/>
                <w:bCs/>
                <w:sz w:val="24"/>
                <w:szCs w:val="24"/>
                <w:lang w:eastAsia="hr-HR"/>
              </w:rPr>
              <w:t>. i 202</w:t>
            </w:r>
            <w:r w:rsidR="006015B9">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xml:space="preserve"> godinu do kraja tekuće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 godine, u roku koji omogućuje primjenu proračuna od 1. siječnja 202</w:t>
            </w:r>
            <w:r w:rsidR="006015B9">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w:t>
            </w:r>
          </w:p>
        </w:tc>
      </w:tr>
    </w:tbl>
    <w:p w14:paraId="397E11E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3482CF33" w14:textId="6E599CBB"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U slučaju da postoje razlike u financijskom planu proračunskog korisnika sadržanom u</w:t>
      </w:r>
      <w:r w:rsidRPr="0079451F">
        <w:rPr>
          <w:rFonts w:ascii="Times New Roman" w:eastAsia="Times New Roman" w:hAnsi="Times New Roman" w:cs="Times New Roman"/>
          <w:bCs/>
          <w:sz w:val="24"/>
          <w:szCs w:val="24"/>
          <w:lang w:eastAsia="hr-HR"/>
        </w:rPr>
        <w:br/>
        <w:t>proračunu, kojeg je donijelo predstavničko tijelo, u odnosu na već usvojeni prijedlog</w:t>
      </w:r>
      <w:r w:rsidRPr="0079451F">
        <w:rPr>
          <w:rFonts w:ascii="Times New Roman" w:eastAsia="Times New Roman" w:hAnsi="Times New Roman" w:cs="Times New Roman"/>
          <w:bCs/>
          <w:sz w:val="24"/>
          <w:szCs w:val="24"/>
          <w:lang w:eastAsia="hr-HR"/>
        </w:rPr>
        <w:br/>
        <w:t xml:space="preserve">financijskog plana od strane upravljačkog tijela, tada je </w:t>
      </w:r>
      <w:r w:rsidR="006A545C">
        <w:rPr>
          <w:rFonts w:ascii="Times New Roman" w:eastAsia="Times New Roman" w:hAnsi="Times New Roman" w:cs="Times New Roman"/>
          <w:bCs/>
          <w:sz w:val="24"/>
          <w:szCs w:val="24"/>
          <w:lang w:eastAsia="hr-HR"/>
        </w:rPr>
        <w:t>Upravni odjela za društve</w:t>
      </w:r>
      <w:r w:rsidR="00AE5C43">
        <w:rPr>
          <w:rFonts w:ascii="Times New Roman" w:eastAsia="Times New Roman" w:hAnsi="Times New Roman" w:cs="Times New Roman"/>
          <w:bCs/>
          <w:sz w:val="24"/>
          <w:szCs w:val="24"/>
          <w:lang w:eastAsia="hr-HR"/>
        </w:rPr>
        <w:t>ne djelatnosti, proračun, financije, nadzor i javne prihode</w:t>
      </w:r>
      <w:r w:rsidRPr="0079451F">
        <w:rPr>
          <w:rFonts w:ascii="Times New Roman" w:eastAsia="Times New Roman" w:hAnsi="Times New Roman" w:cs="Times New Roman"/>
          <w:bCs/>
          <w:sz w:val="24"/>
          <w:szCs w:val="24"/>
          <w:lang w:eastAsia="hr-HR"/>
        </w:rPr>
        <w:t xml:space="preserve"> dužan obavijestiti proračunskog korisnika o promjenama financijskog plana koji je sadržan u proračunu u odnosu na usvojeni prijedlog financijskog plana. Ako dođe do navedene situacije, upravljačko tijelo usvaja financijski plan koji je sadržan u proračunu kojeg je donijelo predstavničko tijelo.</w:t>
      </w:r>
    </w:p>
    <w:p w14:paraId="1953950C"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3689A5B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59A6DB0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12CB5CA"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 xml:space="preserve"> Izmjene i dopune financijskog plana</w:t>
      </w:r>
    </w:p>
    <w:p w14:paraId="5B46ECF5" w14:textId="77777777" w:rsidR="0079451F" w:rsidRPr="0079451F" w:rsidRDefault="0079451F" w:rsidP="0079451F">
      <w:pPr>
        <w:suppressAutoHyphens/>
        <w:autoSpaceDN w:val="0"/>
        <w:spacing w:after="0" w:line="240" w:lineRule="auto"/>
        <w:ind w:left="720"/>
        <w:contextualSpacing/>
        <w:jc w:val="both"/>
        <w:rPr>
          <w:rFonts w:ascii="Times New Roman" w:eastAsia="Times New Roman" w:hAnsi="Times New Roman" w:cs="Times New Roman"/>
          <w:b/>
          <w:bCs/>
          <w:sz w:val="24"/>
          <w:szCs w:val="24"/>
          <w:lang w:eastAsia="hr-HR"/>
        </w:rPr>
      </w:pPr>
    </w:p>
    <w:p w14:paraId="4AFD667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Sukladno odredbama Zakona o proračunu izmjenama i dopunama financijskog plana mijenja</w:t>
      </w:r>
      <w:r w:rsidRPr="0079451F">
        <w:rPr>
          <w:rFonts w:ascii="Times New Roman" w:eastAsia="Times New Roman" w:hAnsi="Times New Roman" w:cs="Times New Roman"/>
          <w:bCs/>
          <w:sz w:val="24"/>
          <w:szCs w:val="24"/>
          <w:lang w:eastAsia="hr-HR"/>
        </w:rPr>
        <w:br/>
        <w:t>se isključivo usvojeni plan za tekuću proračunsku godinu. Na postupak donošenja izmjena i</w:t>
      </w:r>
      <w:r w:rsidRPr="0079451F">
        <w:rPr>
          <w:rFonts w:ascii="Times New Roman" w:eastAsia="Times New Roman" w:hAnsi="Times New Roman" w:cs="Times New Roman"/>
          <w:bCs/>
          <w:sz w:val="24"/>
          <w:szCs w:val="24"/>
          <w:lang w:eastAsia="hr-HR"/>
        </w:rPr>
        <w:br/>
        <w:t>dopuna financijskog plana na odgovarajući se način primjenjuju odredbe Zakona o proračunu</w:t>
      </w:r>
      <w:r w:rsidRPr="0079451F">
        <w:rPr>
          <w:rFonts w:ascii="Times New Roman" w:eastAsia="Times New Roman" w:hAnsi="Times New Roman" w:cs="Times New Roman"/>
          <w:bCs/>
          <w:sz w:val="24"/>
          <w:szCs w:val="24"/>
          <w:lang w:eastAsia="hr-HR"/>
        </w:rPr>
        <w:br/>
        <w:t>za postupak donošenja financijskog plana. Izmjenama i dopunama financijskog plana ne mogu</w:t>
      </w:r>
      <w:r w:rsidRPr="0079451F">
        <w:rPr>
          <w:rFonts w:ascii="Times New Roman" w:eastAsia="Times New Roman" w:hAnsi="Times New Roman" w:cs="Times New Roman"/>
          <w:bCs/>
          <w:sz w:val="24"/>
          <w:szCs w:val="24"/>
          <w:lang w:eastAsia="hr-HR"/>
        </w:rPr>
        <w:br/>
        <w:t>se umanjiti rashodi i izdaci ispod razine izvršenja i preuzetih obveza po investicijskim</w:t>
      </w:r>
      <w:r w:rsidRPr="0079451F">
        <w:rPr>
          <w:rFonts w:ascii="Times New Roman" w:eastAsia="Times New Roman" w:hAnsi="Times New Roman" w:cs="Times New Roman"/>
          <w:bCs/>
          <w:sz w:val="24"/>
          <w:szCs w:val="24"/>
          <w:lang w:eastAsia="hr-HR"/>
        </w:rPr>
        <w:br/>
        <w:t>projektima te preuzetih obveza iz ugovora koji zahtijevaju plaćanje u sljedećim godinama.</w:t>
      </w:r>
      <w:r w:rsidRPr="0079451F">
        <w:rPr>
          <w:rFonts w:ascii="Times New Roman" w:eastAsia="Times New Roman" w:hAnsi="Times New Roman" w:cs="Times New Roman"/>
          <w:bCs/>
          <w:sz w:val="24"/>
          <w:szCs w:val="24"/>
          <w:lang w:eastAsia="hr-HR"/>
        </w:rPr>
        <w:br/>
        <w:t>Ostvareni namjenski prihodi i primici i ostvareni vlastiti prihodi te rashodi i izdaci izvršeni iznad iznosa utvrđenih u financijskom planu, izmjenama i dopunama financijskog plana moraju se planirati minimalno na razini ostvarenih prihoda i primitaka, odnosno izvršenih rashoda i</w:t>
      </w:r>
      <w:r w:rsidRPr="0079451F">
        <w:rPr>
          <w:rFonts w:ascii="Times New Roman" w:eastAsia="Times New Roman" w:hAnsi="Times New Roman" w:cs="Times New Roman"/>
          <w:bCs/>
          <w:sz w:val="24"/>
          <w:szCs w:val="24"/>
          <w:lang w:eastAsia="hr-HR"/>
        </w:rPr>
        <w:br/>
        <w:t>izdataka. Uz svake izmjene i dopune financijskog plana obvezno je izraditi obrazloženja</w:t>
      </w:r>
      <w:r w:rsidRPr="0079451F">
        <w:rPr>
          <w:rFonts w:ascii="Times New Roman" w:eastAsia="Times New Roman" w:hAnsi="Times New Roman" w:cs="Times New Roman"/>
          <w:bCs/>
          <w:sz w:val="24"/>
          <w:szCs w:val="24"/>
          <w:lang w:eastAsia="hr-HR"/>
        </w:rPr>
        <w:br/>
        <w:t>izmjena i dopuna financijskog plana (općeg i posebnog dijela).</w:t>
      </w:r>
    </w:p>
    <w:p w14:paraId="7650DFE8"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17AAD11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color w:val="FF0000"/>
          <w:sz w:val="24"/>
          <w:szCs w:val="24"/>
          <w:lang w:eastAsia="hr-HR"/>
        </w:rPr>
      </w:pPr>
    </w:p>
    <w:p w14:paraId="0F23A13E" w14:textId="77777777" w:rsidR="0079451F" w:rsidRPr="0079451F" w:rsidRDefault="0079451F" w:rsidP="0079451F">
      <w:pPr>
        <w:numPr>
          <w:ilvl w:val="1"/>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 xml:space="preserve">Visina financijskog plana proračunskog korisnika </w:t>
      </w:r>
    </w:p>
    <w:p w14:paraId="64ED8B1B" w14:textId="77777777" w:rsidR="0079451F" w:rsidRPr="0079451F" w:rsidRDefault="0079451F" w:rsidP="0079451F">
      <w:pPr>
        <w:suppressAutoHyphens/>
        <w:autoSpaceDN w:val="0"/>
        <w:spacing w:after="0" w:line="240" w:lineRule="auto"/>
        <w:ind w:left="720"/>
        <w:contextualSpacing/>
        <w:jc w:val="both"/>
        <w:rPr>
          <w:rFonts w:ascii="Times New Roman" w:eastAsia="Times New Roman" w:hAnsi="Times New Roman" w:cs="Times New Roman"/>
          <w:b/>
          <w:bCs/>
          <w:sz w:val="24"/>
          <w:szCs w:val="24"/>
          <w:lang w:eastAsia="hr-HR"/>
        </w:rPr>
      </w:pPr>
    </w:p>
    <w:p w14:paraId="07FE84DF" w14:textId="5BEEA988"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lastRenderedPageBreak/>
        <w:t>Sukladno Zakonu o proračunu upute sadrže i visinu rashoda koji se financiraju iz općih prihoda i primitaka</w:t>
      </w:r>
      <w:r w:rsidR="008C1CF9">
        <w:rPr>
          <w:rFonts w:ascii="Times New Roman" w:eastAsia="Times New Roman" w:hAnsi="Times New Roman" w:cs="Times New Roman"/>
          <w:bCs/>
          <w:sz w:val="24"/>
          <w:szCs w:val="24"/>
          <w:lang w:eastAsia="hr-HR"/>
        </w:rPr>
        <w:t xml:space="preserve">, </w:t>
      </w:r>
      <w:r w:rsidRPr="0079451F">
        <w:rPr>
          <w:rFonts w:ascii="Times New Roman" w:eastAsia="Times New Roman" w:hAnsi="Times New Roman" w:cs="Times New Roman"/>
          <w:bCs/>
          <w:sz w:val="24"/>
          <w:szCs w:val="24"/>
          <w:lang w:eastAsia="hr-HR"/>
        </w:rPr>
        <w:t xml:space="preserve">namjenskih primitaka </w:t>
      </w:r>
      <w:r w:rsidR="008C1CF9">
        <w:rPr>
          <w:rFonts w:ascii="Times New Roman" w:eastAsia="Times New Roman" w:hAnsi="Times New Roman" w:cs="Times New Roman"/>
          <w:bCs/>
          <w:sz w:val="24"/>
          <w:szCs w:val="24"/>
          <w:lang w:eastAsia="hr-HR"/>
        </w:rPr>
        <w:t xml:space="preserve">te prihoda od pomoći iz drugih proračuna </w:t>
      </w:r>
      <w:r w:rsidRPr="0079451F">
        <w:rPr>
          <w:rFonts w:ascii="Times New Roman" w:eastAsia="Times New Roman" w:hAnsi="Times New Roman" w:cs="Times New Roman"/>
          <w:bCs/>
          <w:sz w:val="24"/>
          <w:szCs w:val="24"/>
          <w:lang w:eastAsia="hr-HR"/>
        </w:rPr>
        <w:t>po razdjelima organizacijske klasifikacije za iduću proračunsku godinu i za slijedeće dvije raspoređenu na:</w:t>
      </w:r>
    </w:p>
    <w:p w14:paraId="03C79A09" w14:textId="67E3E86B" w:rsidR="0079451F" w:rsidRPr="009D7907" w:rsidRDefault="0079451F" w:rsidP="009D7907">
      <w:pPr>
        <w:pStyle w:val="Odlomakpopisa"/>
        <w:numPr>
          <w:ilvl w:val="0"/>
          <w:numId w:val="9"/>
        </w:numPr>
        <w:suppressAutoHyphens/>
        <w:autoSpaceDN w:val="0"/>
        <w:spacing w:after="0" w:line="240" w:lineRule="auto"/>
        <w:jc w:val="both"/>
        <w:rPr>
          <w:rFonts w:ascii="Times New Roman" w:eastAsia="Times New Roman" w:hAnsi="Times New Roman" w:cs="Times New Roman"/>
          <w:bCs/>
          <w:sz w:val="24"/>
          <w:szCs w:val="24"/>
          <w:lang w:eastAsia="hr-HR"/>
        </w:rPr>
      </w:pPr>
      <w:r w:rsidRPr="009D7907">
        <w:rPr>
          <w:rFonts w:ascii="Times New Roman" w:eastAsia="Times New Roman" w:hAnsi="Times New Roman" w:cs="Times New Roman"/>
          <w:bCs/>
          <w:sz w:val="24"/>
          <w:szCs w:val="24"/>
          <w:lang w:eastAsia="hr-HR"/>
        </w:rPr>
        <w:t xml:space="preserve">visinu rashoda potrebnih za provedbu postojećih programa, odnosno aktivnosti, koje proizlaze iz trenutno važećih propisa </w:t>
      </w:r>
    </w:p>
    <w:p w14:paraId="088021E1" w14:textId="68D581C3" w:rsidR="009D7907" w:rsidRDefault="009D7907" w:rsidP="009D7907">
      <w:pPr>
        <w:pStyle w:val="Odlomakpopisa"/>
        <w:numPr>
          <w:ilvl w:val="0"/>
          <w:numId w:val="9"/>
        </w:numPr>
        <w:suppressAutoHyphens/>
        <w:autoSpaceDN w:val="0"/>
        <w:spacing w:after="0" w:line="240" w:lineRule="auto"/>
        <w:jc w:val="both"/>
        <w:rPr>
          <w:rFonts w:ascii="Times New Roman" w:eastAsia="Times New Roman" w:hAnsi="Times New Roman" w:cs="Times New Roman"/>
          <w:bCs/>
          <w:sz w:val="24"/>
          <w:szCs w:val="24"/>
          <w:lang w:eastAsia="hr-HR"/>
        </w:rPr>
      </w:pPr>
      <w:r w:rsidRPr="009D7907">
        <w:rPr>
          <w:rFonts w:ascii="Times New Roman" w:eastAsia="Times New Roman" w:hAnsi="Times New Roman" w:cs="Times New Roman"/>
          <w:bCs/>
          <w:sz w:val="24"/>
          <w:szCs w:val="24"/>
          <w:lang w:eastAsia="hr-HR"/>
        </w:rPr>
        <w:t>visinu rashoda potrebnih za uvođenje i provedbu novih ili promjenu postojećih programa, odnosno aktivnosti</w:t>
      </w:r>
    </w:p>
    <w:p w14:paraId="69C0B7F0"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79C553F4"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0D005F99"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1E9336C5"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38AD6E67"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40615D82"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11429DFA"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4AF7D0F9"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70B27BA4"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0DAC7169" w14:textId="77777777" w:rsid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0AF22CD7" w14:textId="77777777" w:rsidR="00504BB6" w:rsidRPr="00504BB6" w:rsidRDefault="00504BB6" w:rsidP="00504BB6">
      <w:pPr>
        <w:suppressAutoHyphens/>
        <w:autoSpaceDN w:val="0"/>
        <w:spacing w:after="0" w:line="240" w:lineRule="auto"/>
        <w:jc w:val="both"/>
        <w:rPr>
          <w:rFonts w:ascii="Times New Roman" w:eastAsia="Times New Roman" w:hAnsi="Times New Roman" w:cs="Times New Roman"/>
          <w:bCs/>
          <w:sz w:val="24"/>
          <w:szCs w:val="24"/>
          <w:lang w:eastAsia="hr-HR"/>
        </w:rPr>
      </w:pPr>
    </w:p>
    <w:p w14:paraId="458B17F8" w14:textId="77777777" w:rsidR="009D7907" w:rsidRPr="009D7907" w:rsidRDefault="009D7907" w:rsidP="009D7907">
      <w:pPr>
        <w:suppressAutoHyphens/>
        <w:autoSpaceDN w:val="0"/>
        <w:spacing w:after="0" w:line="240" w:lineRule="auto"/>
        <w:jc w:val="both"/>
        <w:rPr>
          <w:rFonts w:ascii="Times New Roman" w:eastAsia="Times New Roman" w:hAnsi="Times New Roman" w:cs="Times New Roman"/>
          <w:bCs/>
          <w:sz w:val="24"/>
          <w:szCs w:val="24"/>
          <w:lang w:eastAsia="hr-HR"/>
        </w:rPr>
      </w:pPr>
    </w:p>
    <w:p w14:paraId="1B6D050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tbl>
      <w:tblPr>
        <w:tblStyle w:val="Reetkatablice"/>
        <w:tblpPr w:leftFromText="180" w:rightFromText="180" w:vertAnchor="text" w:horzAnchor="margin" w:tblpXSpec="center" w:tblpY="137"/>
        <w:tblW w:w="8218" w:type="dxa"/>
        <w:tblLayout w:type="fixed"/>
        <w:tblLook w:val="04A0" w:firstRow="1" w:lastRow="0" w:firstColumn="1" w:lastColumn="0" w:noHBand="0" w:noVBand="1"/>
      </w:tblPr>
      <w:tblGrid>
        <w:gridCol w:w="988"/>
        <w:gridCol w:w="1275"/>
        <w:gridCol w:w="1985"/>
        <w:gridCol w:w="1985"/>
        <w:gridCol w:w="1985"/>
      </w:tblGrid>
      <w:tr w:rsidR="008C1CF9" w:rsidRPr="0079451F" w14:paraId="5422C19D" w14:textId="701CA8E1" w:rsidTr="008C1CF9">
        <w:trPr>
          <w:trHeight w:val="255"/>
        </w:trPr>
        <w:tc>
          <w:tcPr>
            <w:tcW w:w="988" w:type="dxa"/>
            <w:vMerge w:val="restart"/>
          </w:tcPr>
          <w:p w14:paraId="40672C32" w14:textId="77777777" w:rsidR="008C1CF9" w:rsidRPr="0079451F" w:rsidRDefault="008C1CF9" w:rsidP="0079451F">
            <w:pPr>
              <w:spacing w:line="240" w:lineRule="auto"/>
              <w:jc w:val="center"/>
              <w:rPr>
                <w:rFonts w:ascii="Times New Roman" w:eastAsia="Calibri" w:hAnsi="Times New Roman" w:cs="Times New Roman"/>
                <w:b/>
                <w:sz w:val="20"/>
                <w:szCs w:val="20"/>
              </w:rPr>
            </w:pPr>
          </w:p>
          <w:p w14:paraId="511752A7" w14:textId="77777777" w:rsidR="008C1CF9" w:rsidRPr="0079451F" w:rsidRDefault="008C1CF9" w:rsidP="0079451F">
            <w:pPr>
              <w:spacing w:line="240" w:lineRule="auto"/>
              <w:jc w:val="center"/>
              <w:rPr>
                <w:rFonts w:ascii="Times New Roman" w:eastAsia="Calibri" w:hAnsi="Times New Roman" w:cs="Times New Roman"/>
                <w:b/>
                <w:sz w:val="20"/>
                <w:szCs w:val="20"/>
              </w:rPr>
            </w:pPr>
            <w:r w:rsidRPr="0079451F">
              <w:rPr>
                <w:rFonts w:ascii="Times New Roman" w:eastAsia="Calibri" w:hAnsi="Times New Roman" w:cs="Times New Roman"/>
                <w:b/>
                <w:sz w:val="20"/>
                <w:szCs w:val="20"/>
              </w:rPr>
              <w:t>Korisnik</w:t>
            </w:r>
          </w:p>
        </w:tc>
        <w:tc>
          <w:tcPr>
            <w:tcW w:w="1275" w:type="dxa"/>
            <w:vMerge w:val="restart"/>
          </w:tcPr>
          <w:p w14:paraId="06CABE5E" w14:textId="36F425C7" w:rsidR="008C1CF9" w:rsidRPr="0079451F" w:rsidRDefault="008C1CF9" w:rsidP="0079451F">
            <w:pPr>
              <w:spacing w:line="240" w:lineRule="auto"/>
              <w:jc w:val="center"/>
              <w:rPr>
                <w:rFonts w:ascii="Times New Roman" w:eastAsia="Calibri" w:hAnsi="Times New Roman" w:cs="Times New Roman"/>
                <w:b/>
                <w:sz w:val="20"/>
                <w:szCs w:val="20"/>
              </w:rPr>
            </w:pPr>
            <w:r w:rsidRPr="0079451F">
              <w:rPr>
                <w:rFonts w:ascii="Times New Roman" w:eastAsia="Calibri" w:hAnsi="Times New Roman" w:cs="Times New Roman"/>
                <w:b/>
                <w:sz w:val="20"/>
                <w:szCs w:val="20"/>
              </w:rPr>
              <w:t>Tekući plan 202</w:t>
            </w:r>
            <w:r w:rsidR="006015B9">
              <w:rPr>
                <w:rFonts w:ascii="Times New Roman" w:eastAsia="Calibri" w:hAnsi="Times New Roman" w:cs="Times New Roman"/>
                <w:b/>
                <w:sz w:val="20"/>
                <w:szCs w:val="20"/>
              </w:rPr>
              <w:t>6</w:t>
            </w:r>
            <w:r w:rsidRPr="0079451F">
              <w:rPr>
                <w:rFonts w:ascii="Times New Roman" w:eastAsia="Calibri" w:hAnsi="Times New Roman" w:cs="Times New Roman"/>
                <w:b/>
                <w:sz w:val="20"/>
                <w:szCs w:val="20"/>
              </w:rPr>
              <w:t>. godina</w:t>
            </w:r>
          </w:p>
        </w:tc>
        <w:tc>
          <w:tcPr>
            <w:tcW w:w="1985" w:type="dxa"/>
            <w:tcBorders>
              <w:top w:val="single" w:sz="4" w:space="0" w:color="auto"/>
              <w:bottom w:val="single" w:sz="4" w:space="0" w:color="auto"/>
              <w:right w:val="single" w:sz="4" w:space="0" w:color="auto"/>
            </w:tcBorders>
          </w:tcPr>
          <w:p w14:paraId="2AF5CCA1" w14:textId="4B98BB81"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sidRPr="0079451F">
              <w:rPr>
                <w:rFonts w:ascii="Times New Roman" w:eastAsia="Times New Roman" w:hAnsi="Times New Roman" w:cs="Times New Roman"/>
                <w:b/>
                <w:sz w:val="20"/>
                <w:szCs w:val="20"/>
                <w:lang w:eastAsia="hr-HR"/>
              </w:rPr>
              <w:t>202</w:t>
            </w:r>
            <w:r w:rsidR="006015B9">
              <w:rPr>
                <w:rFonts w:ascii="Times New Roman" w:eastAsia="Times New Roman" w:hAnsi="Times New Roman" w:cs="Times New Roman"/>
                <w:b/>
                <w:sz w:val="20"/>
                <w:szCs w:val="20"/>
                <w:lang w:eastAsia="hr-HR"/>
              </w:rPr>
              <w:t>7</w:t>
            </w:r>
            <w:r w:rsidRPr="0079451F">
              <w:rPr>
                <w:rFonts w:ascii="Times New Roman" w:eastAsia="Times New Roman" w:hAnsi="Times New Roman" w:cs="Times New Roman"/>
                <w:b/>
                <w:sz w:val="20"/>
                <w:szCs w:val="20"/>
                <w:lang w:eastAsia="hr-HR"/>
              </w:rPr>
              <w:t>. godina</w:t>
            </w:r>
          </w:p>
        </w:tc>
        <w:tc>
          <w:tcPr>
            <w:tcW w:w="1985" w:type="dxa"/>
          </w:tcPr>
          <w:p w14:paraId="0090C063" w14:textId="6196904B"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Pr>
                <w:rFonts w:ascii="Times New Roman" w:eastAsia="Times New Roman" w:hAnsi="Times New Roman" w:cs="Times New Roman"/>
                <w:b/>
                <w:sz w:val="20"/>
                <w:szCs w:val="20"/>
                <w:lang w:eastAsia="hr-HR"/>
              </w:rPr>
              <w:t>202</w:t>
            </w:r>
            <w:r w:rsidR="006015B9">
              <w:rPr>
                <w:rFonts w:ascii="Times New Roman" w:eastAsia="Times New Roman" w:hAnsi="Times New Roman" w:cs="Times New Roman"/>
                <w:b/>
                <w:sz w:val="20"/>
                <w:szCs w:val="20"/>
                <w:lang w:eastAsia="hr-HR"/>
              </w:rPr>
              <w:t xml:space="preserve">8. </w:t>
            </w:r>
            <w:r>
              <w:rPr>
                <w:rFonts w:ascii="Times New Roman" w:eastAsia="Times New Roman" w:hAnsi="Times New Roman" w:cs="Times New Roman"/>
                <w:b/>
                <w:sz w:val="20"/>
                <w:szCs w:val="20"/>
                <w:lang w:eastAsia="hr-HR"/>
              </w:rPr>
              <w:t>godina</w:t>
            </w:r>
          </w:p>
        </w:tc>
        <w:tc>
          <w:tcPr>
            <w:tcW w:w="1985" w:type="dxa"/>
          </w:tcPr>
          <w:p w14:paraId="1687AD36" w14:textId="34367792"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Pr>
                <w:rFonts w:ascii="Times New Roman" w:eastAsia="Times New Roman" w:hAnsi="Times New Roman" w:cs="Times New Roman"/>
                <w:b/>
                <w:sz w:val="20"/>
                <w:szCs w:val="20"/>
                <w:lang w:eastAsia="hr-HR"/>
              </w:rPr>
              <w:t>202</w:t>
            </w:r>
            <w:r w:rsidR="006015B9">
              <w:rPr>
                <w:rFonts w:ascii="Times New Roman" w:eastAsia="Times New Roman" w:hAnsi="Times New Roman" w:cs="Times New Roman"/>
                <w:b/>
                <w:sz w:val="20"/>
                <w:szCs w:val="20"/>
                <w:lang w:eastAsia="hr-HR"/>
              </w:rPr>
              <w:t>9</w:t>
            </w:r>
            <w:r>
              <w:rPr>
                <w:rFonts w:ascii="Times New Roman" w:eastAsia="Times New Roman" w:hAnsi="Times New Roman" w:cs="Times New Roman"/>
                <w:b/>
                <w:sz w:val="20"/>
                <w:szCs w:val="20"/>
                <w:lang w:eastAsia="hr-HR"/>
              </w:rPr>
              <w:t>.</w:t>
            </w:r>
            <w:r w:rsidR="006015B9">
              <w:rPr>
                <w:rFonts w:ascii="Times New Roman" w:eastAsia="Times New Roman" w:hAnsi="Times New Roman" w:cs="Times New Roman"/>
                <w:b/>
                <w:sz w:val="20"/>
                <w:szCs w:val="20"/>
                <w:lang w:eastAsia="hr-HR"/>
              </w:rPr>
              <w:t xml:space="preserve"> </w:t>
            </w:r>
            <w:r>
              <w:rPr>
                <w:rFonts w:ascii="Times New Roman" w:eastAsia="Times New Roman" w:hAnsi="Times New Roman" w:cs="Times New Roman"/>
                <w:b/>
                <w:sz w:val="20"/>
                <w:szCs w:val="20"/>
                <w:lang w:eastAsia="hr-HR"/>
              </w:rPr>
              <w:t>godina</w:t>
            </w:r>
          </w:p>
        </w:tc>
      </w:tr>
      <w:tr w:rsidR="008C1CF9" w:rsidRPr="0079451F" w14:paraId="1E0146F7" w14:textId="6E0CB2A0" w:rsidTr="008C1CF9">
        <w:trPr>
          <w:trHeight w:val="285"/>
        </w:trPr>
        <w:tc>
          <w:tcPr>
            <w:tcW w:w="988" w:type="dxa"/>
            <w:vMerge/>
          </w:tcPr>
          <w:p w14:paraId="546A8990" w14:textId="77777777" w:rsidR="008C1CF9" w:rsidRPr="0079451F" w:rsidRDefault="008C1CF9" w:rsidP="0079451F">
            <w:pPr>
              <w:spacing w:line="240" w:lineRule="auto"/>
              <w:jc w:val="center"/>
              <w:rPr>
                <w:rFonts w:ascii="Times New Roman" w:eastAsia="Calibri" w:hAnsi="Times New Roman" w:cs="Times New Roman"/>
                <w:b/>
                <w:sz w:val="20"/>
                <w:szCs w:val="20"/>
              </w:rPr>
            </w:pPr>
          </w:p>
        </w:tc>
        <w:tc>
          <w:tcPr>
            <w:tcW w:w="1275" w:type="dxa"/>
            <w:vMerge/>
          </w:tcPr>
          <w:p w14:paraId="162C37E0" w14:textId="77777777" w:rsidR="008C1CF9" w:rsidRPr="0079451F" w:rsidRDefault="008C1CF9" w:rsidP="0079451F">
            <w:pPr>
              <w:spacing w:line="240" w:lineRule="auto"/>
              <w:jc w:val="center"/>
              <w:rPr>
                <w:rFonts w:ascii="Times New Roman" w:eastAsia="Calibri" w:hAnsi="Times New Roman" w:cs="Times New Roman"/>
                <w:b/>
                <w:sz w:val="20"/>
                <w:szCs w:val="20"/>
              </w:rPr>
            </w:pPr>
          </w:p>
        </w:tc>
        <w:tc>
          <w:tcPr>
            <w:tcW w:w="1985" w:type="dxa"/>
            <w:tcBorders>
              <w:top w:val="single" w:sz="4" w:space="0" w:color="auto"/>
              <w:bottom w:val="single" w:sz="4" w:space="0" w:color="auto"/>
              <w:right w:val="single" w:sz="4" w:space="0" w:color="auto"/>
            </w:tcBorders>
          </w:tcPr>
          <w:p w14:paraId="396848B1" w14:textId="04235246"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sidRPr="0079451F">
              <w:rPr>
                <w:rFonts w:ascii="Times New Roman" w:eastAsia="Times New Roman" w:hAnsi="Times New Roman" w:cs="Times New Roman"/>
                <w:b/>
                <w:sz w:val="20"/>
                <w:szCs w:val="20"/>
                <w:lang w:eastAsia="hr-HR"/>
              </w:rPr>
              <w:t xml:space="preserve">Limit </w:t>
            </w:r>
            <w:r w:rsidR="009D7907">
              <w:rPr>
                <w:rFonts w:ascii="Times New Roman" w:eastAsia="Times New Roman" w:hAnsi="Times New Roman" w:cs="Times New Roman"/>
                <w:b/>
                <w:sz w:val="20"/>
                <w:szCs w:val="20"/>
                <w:lang w:eastAsia="hr-HR"/>
              </w:rPr>
              <w:t>A</w:t>
            </w:r>
          </w:p>
        </w:tc>
        <w:tc>
          <w:tcPr>
            <w:tcW w:w="1985" w:type="dxa"/>
          </w:tcPr>
          <w:p w14:paraId="1985099B" w14:textId="6585A201"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Pr>
                <w:rFonts w:ascii="Times New Roman" w:eastAsia="Times New Roman" w:hAnsi="Times New Roman" w:cs="Times New Roman"/>
                <w:b/>
                <w:sz w:val="20"/>
                <w:szCs w:val="20"/>
                <w:lang w:eastAsia="hr-HR"/>
              </w:rPr>
              <w:t>Limit</w:t>
            </w:r>
            <w:r w:rsidR="009D7907">
              <w:rPr>
                <w:rFonts w:ascii="Times New Roman" w:eastAsia="Times New Roman" w:hAnsi="Times New Roman" w:cs="Times New Roman"/>
                <w:b/>
                <w:sz w:val="20"/>
                <w:szCs w:val="20"/>
                <w:lang w:eastAsia="hr-HR"/>
              </w:rPr>
              <w:t xml:space="preserve"> A</w:t>
            </w:r>
          </w:p>
        </w:tc>
        <w:tc>
          <w:tcPr>
            <w:tcW w:w="1985" w:type="dxa"/>
          </w:tcPr>
          <w:p w14:paraId="782DA54C" w14:textId="55E1A37B" w:rsidR="008C1CF9" w:rsidRPr="0079451F" w:rsidRDefault="008C1CF9" w:rsidP="0079451F">
            <w:pPr>
              <w:suppressAutoHyphens/>
              <w:autoSpaceDN w:val="0"/>
              <w:spacing w:line="240" w:lineRule="auto"/>
              <w:jc w:val="center"/>
              <w:rPr>
                <w:rFonts w:ascii="Times New Roman" w:eastAsia="Times New Roman" w:hAnsi="Times New Roman" w:cs="Times New Roman"/>
                <w:b/>
                <w:sz w:val="20"/>
                <w:szCs w:val="20"/>
                <w:lang w:eastAsia="hr-HR"/>
              </w:rPr>
            </w:pPr>
            <w:r>
              <w:rPr>
                <w:rFonts w:ascii="Times New Roman" w:eastAsia="Times New Roman" w:hAnsi="Times New Roman" w:cs="Times New Roman"/>
                <w:b/>
                <w:sz w:val="20"/>
                <w:szCs w:val="20"/>
                <w:lang w:eastAsia="hr-HR"/>
              </w:rPr>
              <w:t>Limit</w:t>
            </w:r>
            <w:r w:rsidR="009D7907">
              <w:rPr>
                <w:rFonts w:ascii="Times New Roman" w:eastAsia="Times New Roman" w:hAnsi="Times New Roman" w:cs="Times New Roman"/>
                <w:b/>
                <w:sz w:val="20"/>
                <w:szCs w:val="20"/>
                <w:lang w:eastAsia="hr-HR"/>
              </w:rPr>
              <w:t xml:space="preserve"> A</w:t>
            </w:r>
          </w:p>
        </w:tc>
      </w:tr>
      <w:tr w:rsidR="008C1CF9" w:rsidRPr="0079451F" w14:paraId="41457608" w14:textId="0A2B5A83" w:rsidTr="008C1CF9">
        <w:tblPrEx>
          <w:tblLook w:val="0000" w:firstRow="0" w:lastRow="0" w:firstColumn="0" w:lastColumn="0" w:noHBand="0" w:noVBand="0"/>
        </w:tblPrEx>
        <w:trPr>
          <w:trHeight w:val="816"/>
        </w:trPr>
        <w:tc>
          <w:tcPr>
            <w:tcW w:w="988" w:type="dxa"/>
          </w:tcPr>
          <w:p w14:paraId="320C3C96" w14:textId="77777777" w:rsidR="008C1CF9" w:rsidRPr="0079451F" w:rsidRDefault="008C1CF9" w:rsidP="0079451F">
            <w:pPr>
              <w:spacing w:line="240" w:lineRule="auto"/>
              <w:jc w:val="both"/>
              <w:rPr>
                <w:rFonts w:ascii="Times New Roman" w:eastAsia="Calibri" w:hAnsi="Times New Roman" w:cs="Times New Roman"/>
                <w:b/>
                <w:sz w:val="20"/>
                <w:szCs w:val="20"/>
              </w:rPr>
            </w:pPr>
          </w:p>
          <w:p w14:paraId="1A7D0B94" w14:textId="7D80324F" w:rsidR="008C1CF9" w:rsidRPr="0079451F" w:rsidRDefault="008C1CF9" w:rsidP="0079451F">
            <w:pPr>
              <w:spacing w:line="240" w:lineRule="auto"/>
              <w:jc w:val="center"/>
              <w:rPr>
                <w:rFonts w:ascii="Times New Roman" w:eastAsia="Calibri" w:hAnsi="Times New Roman" w:cs="Times New Roman"/>
                <w:b/>
                <w:sz w:val="20"/>
                <w:szCs w:val="20"/>
              </w:rPr>
            </w:pPr>
            <w:r w:rsidRPr="0079451F">
              <w:rPr>
                <w:rFonts w:ascii="Times New Roman" w:eastAsia="Calibri" w:hAnsi="Times New Roman" w:cs="Times New Roman"/>
                <w:b/>
                <w:sz w:val="20"/>
                <w:szCs w:val="20"/>
              </w:rPr>
              <w:t xml:space="preserve">DV </w:t>
            </w:r>
            <w:proofErr w:type="spellStart"/>
            <w:r>
              <w:rPr>
                <w:rFonts w:ascii="Times New Roman" w:eastAsia="Calibri" w:hAnsi="Times New Roman" w:cs="Times New Roman"/>
                <w:b/>
                <w:sz w:val="20"/>
                <w:szCs w:val="20"/>
              </w:rPr>
              <w:t>Koštelice</w:t>
            </w:r>
            <w:proofErr w:type="spellEnd"/>
          </w:p>
          <w:p w14:paraId="4A31F260" w14:textId="77777777" w:rsidR="008C1CF9" w:rsidRPr="0079451F" w:rsidRDefault="008C1CF9" w:rsidP="0079451F">
            <w:pPr>
              <w:spacing w:line="240" w:lineRule="auto"/>
              <w:ind w:left="1494"/>
              <w:jc w:val="both"/>
              <w:rPr>
                <w:rFonts w:ascii="Times New Roman" w:eastAsia="Calibri" w:hAnsi="Times New Roman" w:cs="Times New Roman"/>
                <w:b/>
                <w:sz w:val="20"/>
                <w:szCs w:val="20"/>
              </w:rPr>
            </w:pPr>
          </w:p>
          <w:p w14:paraId="792C1CE5" w14:textId="77777777" w:rsidR="008C1CF9" w:rsidRPr="0079451F" w:rsidRDefault="008C1CF9" w:rsidP="0079451F">
            <w:pPr>
              <w:spacing w:line="240" w:lineRule="auto"/>
              <w:ind w:left="1134"/>
              <w:jc w:val="both"/>
              <w:rPr>
                <w:rFonts w:ascii="Times New Roman" w:eastAsia="Calibri" w:hAnsi="Times New Roman" w:cs="Times New Roman"/>
                <w:sz w:val="20"/>
                <w:szCs w:val="20"/>
              </w:rPr>
            </w:pPr>
          </w:p>
        </w:tc>
        <w:tc>
          <w:tcPr>
            <w:tcW w:w="1275" w:type="dxa"/>
          </w:tcPr>
          <w:p w14:paraId="2C5D7D18" w14:textId="77777777" w:rsidR="008C1CF9" w:rsidRPr="0079451F" w:rsidRDefault="008C1CF9" w:rsidP="0079451F">
            <w:pPr>
              <w:suppressAutoHyphens/>
              <w:autoSpaceDN w:val="0"/>
              <w:spacing w:line="240" w:lineRule="auto"/>
              <w:jc w:val="both"/>
              <w:rPr>
                <w:rFonts w:ascii="Times New Roman" w:eastAsia="Times New Roman" w:hAnsi="Times New Roman" w:cs="Times New Roman"/>
                <w:sz w:val="20"/>
                <w:szCs w:val="20"/>
                <w:lang w:eastAsia="hr-HR"/>
              </w:rPr>
            </w:pPr>
          </w:p>
          <w:p w14:paraId="1994DDF5" w14:textId="74C7A776" w:rsidR="008C1CF9" w:rsidRPr="0079451F" w:rsidRDefault="006015B9"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509.005</w:t>
            </w:r>
            <w:r w:rsidR="008C1CF9" w:rsidRPr="0079451F">
              <w:rPr>
                <w:rFonts w:ascii="Times New Roman" w:eastAsia="Times New Roman" w:hAnsi="Times New Roman" w:cs="Times New Roman"/>
                <w:sz w:val="20"/>
                <w:szCs w:val="20"/>
                <w:lang w:eastAsia="hr-HR"/>
              </w:rPr>
              <w:t>,</w:t>
            </w:r>
            <w:r>
              <w:rPr>
                <w:rFonts w:ascii="Times New Roman" w:eastAsia="Times New Roman" w:hAnsi="Times New Roman" w:cs="Times New Roman"/>
                <w:sz w:val="20"/>
                <w:szCs w:val="20"/>
                <w:lang w:eastAsia="hr-HR"/>
              </w:rPr>
              <w:t>28</w:t>
            </w:r>
            <w:r w:rsidR="008C1CF9">
              <w:rPr>
                <w:rFonts w:ascii="Times New Roman" w:eastAsia="Times New Roman" w:hAnsi="Times New Roman" w:cs="Times New Roman"/>
                <w:sz w:val="20"/>
                <w:szCs w:val="20"/>
                <w:lang w:eastAsia="hr-HR"/>
              </w:rPr>
              <w:t xml:space="preserve"> EUR</w:t>
            </w:r>
          </w:p>
          <w:p w14:paraId="7F13CA7B" w14:textId="77777777" w:rsidR="008C1CF9" w:rsidRPr="0079451F" w:rsidRDefault="008C1CF9" w:rsidP="0079451F">
            <w:pPr>
              <w:suppressAutoHyphens/>
              <w:autoSpaceDN w:val="0"/>
              <w:spacing w:line="240" w:lineRule="auto"/>
              <w:jc w:val="both"/>
              <w:rPr>
                <w:rFonts w:ascii="Times New Roman" w:eastAsia="Times New Roman" w:hAnsi="Times New Roman" w:cs="Times New Roman"/>
                <w:sz w:val="20"/>
                <w:szCs w:val="20"/>
                <w:lang w:eastAsia="hr-HR"/>
              </w:rPr>
            </w:pPr>
          </w:p>
          <w:p w14:paraId="354BBFA7" w14:textId="77777777" w:rsidR="008C1CF9" w:rsidRPr="0079451F" w:rsidRDefault="008C1CF9" w:rsidP="0079451F">
            <w:pPr>
              <w:spacing w:line="240" w:lineRule="auto"/>
              <w:jc w:val="both"/>
              <w:rPr>
                <w:rFonts w:ascii="Times New Roman" w:eastAsia="Calibri" w:hAnsi="Times New Roman" w:cs="Times New Roman"/>
                <w:sz w:val="20"/>
                <w:szCs w:val="20"/>
              </w:rPr>
            </w:pPr>
          </w:p>
        </w:tc>
        <w:tc>
          <w:tcPr>
            <w:tcW w:w="1985" w:type="dxa"/>
          </w:tcPr>
          <w:p w14:paraId="360443F5" w14:textId="77777777" w:rsidR="008C1CF9" w:rsidRPr="0079451F" w:rsidRDefault="008C1CF9" w:rsidP="0079451F">
            <w:pPr>
              <w:suppressAutoHyphens/>
              <w:autoSpaceDN w:val="0"/>
              <w:spacing w:line="240" w:lineRule="auto"/>
              <w:jc w:val="both"/>
              <w:rPr>
                <w:rFonts w:ascii="Times New Roman" w:eastAsia="Times New Roman" w:hAnsi="Times New Roman" w:cs="Times New Roman"/>
                <w:sz w:val="20"/>
                <w:szCs w:val="20"/>
                <w:lang w:eastAsia="hr-HR"/>
              </w:rPr>
            </w:pPr>
          </w:p>
          <w:p w14:paraId="5CAFE31F" w14:textId="3696F1E8" w:rsidR="008C1CF9" w:rsidRPr="0079451F" w:rsidRDefault="006015B9"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539.005,00</w:t>
            </w:r>
            <w:r w:rsidR="008C1CF9">
              <w:rPr>
                <w:rFonts w:ascii="Times New Roman" w:eastAsia="Times New Roman" w:hAnsi="Times New Roman" w:cs="Times New Roman"/>
                <w:sz w:val="20"/>
                <w:szCs w:val="20"/>
                <w:lang w:eastAsia="hr-HR"/>
              </w:rPr>
              <w:t xml:space="preserve"> EUR</w:t>
            </w:r>
          </w:p>
          <w:p w14:paraId="62A90349" w14:textId="77777777" w:rsidR="008C1CF9" w:rsidRPr="0079451F" w:rsidRDefault="008C1CF9" w:rsidP="0079451F">
            <w:pPr>
              <w:spacing w:line="240" w:lineRule="auto"/>
              <w:jc w:val="both"/>
              <w:rPr>
                <w:rFonts w:ascii="Times New Roman" w:eastAsia="Calibri" w:hAnsi="Times New Roman" w:cs="Times New Roman"/>
                <w:sz w:val="20"/>
                <w:szCs w:val="20"/>
              </w:rPr>
            </w:pPr>
          </w:p>
        </w:tc>
        <w:tc>
          <w:tcPr>
            <w:tcW w:w="1985" w:type="dxa"/>
          </w:tcPr>
          <w:p w14:paraId="3B9C5223" w14:textId="77777777" w:rsidR="008C1CF9" w:rsidRDefault="008C1CF9" w:rsidP="0079451F">
            <w:pPr>
              <w:suppressAutoHyphens/>
              <w:autoSpaceDN w:val="0"/>
              <w:spacing w:line="240" w:lineRule="auto"/>
              <w:jc w:val="both"/>
              <w:rPr>
                <w:rFonts w:ascii="Times New Roman" w:eastAsia="Times New Roman" w:hAnsi="Times New Roman" w:cs="Times New Roman"/>
                <w:sz w:val="20"/>
                <w:szCs w:val="20"/>
                <w:lang w:eastAsia="hr-HR"/>
              </w:rPr>
            </w:pPr>
          </w:p>
          <w:p w14:paraId="476D58F0" w14:textId="35C71702" w:rsidR="008C1CF9" w:rsidRPr="0079451F" w:rsidRDefault="006015B9"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539.005,00</w:t>
            </w:r>
            <w:r w:rsidR="008C1CF9">
              <w:rPr>
                <w:rFonts w:ascii="Times New Roman" w:eastAsia="Times New Roman" w:hAnsi="Times New Roman" w:cs="Times New Roman"/>
                <w:sz w:val="20"/>
                <w:szCs w:val="20"/>
                <w:lang w:eastAsia="hr-HR"/>
              </w:rPr>
              <w:t xml:space="preserve"> EUR</w:t>
            </w:r>
          </w:p>
        </w:tc>
        <w:tc>
          <w:tcPr>
            <w:tcW w:w="1985" w:type="dxa"/>
          </w:tcPr>
          <w:p w14:paraId="6861E071" w14:textId="77777777" w:rsidR="008C1CF9" w:rsidRDefault="008C1CF9" w:rsidP="0079451F">
            <w:pPr>
              <w:suppressAutoHyphens/>
              <w:autoSpaceDN w:val="0"/>
              <w:spacing w:line="240" w:lineRule="auto"/>
              <w:jc w:val="both"/>
              <w:rPr>
                <w:rFonts w:ascii="Times New Roman" w:eastAsia="Times New Roman" w:hAnsi="Times New Roman" w:cs="Times New Roman"/>
                <w:sz w:val="20"/>
                <w:szCs w:val="20"/>
                <w:lang w:eastAsia="hr-HR"/>
              </w:rPr>
            </w:pPr>
          </w:p>
          <w:p w14:paraId="3C3BF77B" w14:textId="21E9869D" w:rsidR="008C1CF9" w:rsidRPr="0079451F" w:rsidRDefault="006015B9"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539.005,00</w:t>
            </w:r>
            <w:r w:rsidR="008C1CF9">
              <w:rPr>
                <w:rFonts w:ascii="Times New Roman" w:eastAsia="Times New Roman" w:hAnsi="Times New Roman" w:cs="Times New Roman"/>
                <w:sz w:val="20"/>
                <w:szCs w:val="20"/>
                <w:lang w:eastAsia="hr-HR"/>
              </w:rPr>
              <w:t xml:space="preserve"> EUR</w:t>
            </w:r>
          </w:p>
        </w:tc>
      </w:tr>
      <w:tr w:rsidR="009D7907" w:rsidRPr="0079451F" w14:paraId="07715D45" w14:textId="77777777" w:rsidTr="008C1CF9">
        <w:tblPrEx>
          <w:tblLook w:val="0000" w:firstRow="0" w:lastRow="0" w:firstColumn="0" w:lastColumn="0" w:noHBand="0" w:noVBand="0"/>
        </w:tblPrEx>
        <w:trPr>
          <w:trHeight w:val="816"/>
        </w:trPr>
        <w:tc>
          <w:tcPr>
            <w:tcW w:w="988" w:type="dxa"/>
          </w:tcPr>
          <w:p w14:paraId="387284EB" w14:textId="77777777" w:rsidR="009D7907" w:rsidRPr="0079451F" w:rsidRDefault="009D7907" w:rsidP="0079451F">
            <w:pPr>
              <w:spacing w:line="240" w:lineRule="auto"/>
              <w:jc w:val="both"/>
              <w:rPr>
                <w:rFonts w:ascii="Times New Roman" w:eastAsia="Calibri" w:hAnsi="Times New Roman" w:cs="Times New Roman"/>
                <w:b/>
                <w:sz w:val="20"/>
                <w:szCs w:val="20"/>
              </w:rPr>
            </w:pPr>
          </w:p>
        </w:tc>
        <w:tc>
          <w:tcPr>
            <w:tcW w:w="1275" w:type="dxa"/>
          </w:tcPr>
          <w:p w14:paraId="1C61EDFC" w14:textId="77777777" w:rsidR="009D7907" w:rsidRPr="0079451F" w:rsidRDefault="009D7907" w:rsidP="0079451F">
            <w:pPr>
              <w:suppressAutoHyphens/>
              <w:autoSpaceDN w:val="0"/>
              <w:spacing w:line="240" w:lineRule="auto"/>
              <w:jc w:val="both"/>
              <w:rPr>
                <w:rFonts w:ascii="Times New Roman" w:eastAsia="Times New Roman" w:hAnsi="Times New Roman" w:cs="Times New Roman"/>
                <w:sz w:val="20"/>
                <w:szCs w:val="20"/>
                <w:lang w:eastAsia="hr-HR"/>
              </w:rPr>
            </w:pPr>
          </w:p>
        </w:tc>
        <w:tc>
          <w:tcPr>
            <w:tcW w:w="1985" w:type="dxa"/>
          </w:tcPr>
          <w:p w14:paraId="7E0A2CBB" w14:textId="77777777"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p>
          <w:p w14:paraId="73F3A261" w14:textId="4EC51306"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r w:rsidRPr="009D7907">
              <w:rPr>
                <w:rFonts w:ascii="Times New Roman" w:eastAsia="Times New Roman" w:hAnsi="Times New Roman" w:cs="Times New Roman"/>
                <w:b/>
                <w:bCs/>
                <w:sz w:val="20"/>
                <w:szCs w:val="20"/>
                <w:lang w:eastAsia="hr-HR"/>
              </w:rPr>
              <w:t>Limit B</w:t>
            </w:r>
          </w:p>
        </w:tc>
        <w:tc>
          <w:tcPr>
            <w:tcW w:w="1985" w:type="dxa"/>
          </w:tcPr>
          <w:p w14:paraId="7E943962" w14:textId="77777777"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p>
          <w:p w14:paraId="64A9482A" w14:textId="288C3ED7"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r w:rsidRPr="009D7907">
              <w:rPr>
                <w:rFonts w:ascii="Times New Roman" w:eastAsia="Times New Roman" w:hAnsi="Times New Roman" w:cs="Times New Roman"/>
                <w:b/>
                <w:bCs/>
                <w:sz w:val="20"/>
                <w:szCs w:val="20"/>
                <w:lang w:eastAsia="hr-HR"/>
              </w:rPr>
              <w:t>Limit B</w:t>
            </w:r>
          </w:p>
        </w:tc>
        <w:tc>
          <w:tcPr>
            <w:tcW w:w="1985" w:type="dxa"/>
          </w:tcPr>
          <w:p w14:paraId="4B9D203C" w14:textId="77777777"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p>
          <w:p w14:paraId="4D4266DF" w14:textId="55A3867D" w:rsidR="009D7907" w:rsidRPr="009D7907" w:rsidRDefault="009D7907" w:rsidP="0079451F">
            <w:pPr>
              <w:suppressAutoHyphens/>
              <w:autoSpaceDN w:val="0"/>
              <w:spacing w:line="240" w:lineRule="auto"/>
              <w:jc w:val="both"/>
              <w:rPr>
                <w:rFonts w:ascii="Times New Roman" w:eastAsia="Times New Roman" w:hAnsi="Times New Roman" w:cs="Times New Roman"/>
                <w:b/>
                <w:bCs/>
                <w:sz w:val="20"/>
                <w:szCs w:val="20"/>
                <w:lang w:eastAsia="hr-HR"/>
              </w:rPr>
            </w:pPr>
            <w:r w:rsidRPr="009D7907">
              <w:rPr>
                <w:rFonts w:ascii="Times New Roman" w:eastAsia="Times New Roman" w:hAnsi="Times New Roman" w:cs="Times New Roman"/>
                <w:b/>
                <w:bCs/>
                <w:sz w:val="20"/>
                <w:szCs w:val="20"/>
                <w:lang w:eastAsia="hr-HR"/>
              </w:rPr>
              <w:t>Limit B</w:t>
            </w:r>
          </w:p>
        </w:tc>
      </w:tr>
      <w:tr w:rsidR="009D7907" w:rsidRPr="0079451F" w14:paraId="6B8F424B" w14:textId="77777777" w:rsidTr="008C1CF9">
        <w:tblPrEx>
          <w:tblLook w:val="0000" w:firstRow="0" w:lastRow="0" w:firstColumn="0" w:lastColumn="0" w:noHBand="0" w:noVBand="0"/>
        </w:tblPrEx>
        <w:trPr>
          <w:trHeight w:val="816"/>
        </w:trPr>
        <w:tc>
          <w:tcPr>
            <w:tcW w:w="988" w:type="dxa"/>
          </w:tcPr>
          <w:p w14:paraId="3142C92E" w14:textId="77777777" w:rsidR="009D7907" w:rsidRPr="009D7907" w:rsidRDefault="009D7907" w:rsidP="009D7907">
            <w:pPr>
              <w:spacing w:line="240" w:lineRule="auto"/>
              <w:jc w:val="both"/>
              <w:rPr>
                <w:rFonts w:ascii="Times New Roman" w:eastAsia="Calibri" w:hAnsi="Times New Roman" w:cs="Times New Roman"/>
                <w:b/>
                <w:sz w:val="20"/>
                <w:szCs w:val="20"/>
              </w:rPr>
            </w:pPr>
            <w:r w:rsidRPr="009D7907">
              <w:rPr>
                <w:rFonts w:ascii="Times New Roman" w:eastAsia="Calibri" w:hAnsi="Times New Roman" w:cs="Times New Roman"/>
                <w:b/>
                <w:sz w:val="20"/>
                <w:szCs w:val="20"/>
              </w:rPr>
              <w:t xml:space="preserve">DV </w:t>
            </w:r>
            <w:proofErr w:type="spellStart"/>
            <w:r w:rsidRPr="009D7907">
              <w:rPr>
                <w:rFonts w:ascii="Times New Roman" w:eastAsia="Calibri" w:hAnsi="Times New Roman" w:cs="Times New Roman"/>
                <w:b/>
                <w:sz w:val="20"/>
                <w:szCs w:val="20"/>
              </w:rPr>
              <w:t>Koštelice</w:t>
            </w:r>
            <w:proofErr w:type="spellEnd"/>
          </w:p>
          <w:p w14:paraId="6202EB8D" w14:textId="77777777" w:rsidR="009D7907" w:rsidRPr="0079451F" w:rsidRDefault="009D7907" w:rsidP="0079451F">
            <w:pPr>
              <w:spacing w:line="240" w:lineRule="auto"/>
              <w:jc w:val="both"/>
              <w:rPr>
                <w:rFonts w:ascii="Times New Roman" w:eastAsia="Calibri" w:hAnsi="Times New Roman" w:cs="Times New Roman"/>
                <w:b/>
                <w:sz w:val="20"/>
                <w:szCs w:val="20"/>
              </w:rPr>
            </w:pPr>
          </w:p>
        </w:tc>
        <w:tc>
          <w:tcPr>
            <w:tcW w:w="1275" w:type="dxa"/>
          </w:tcPr>
          <w:p w14:paraId="25135E42" w14:textId="00B0D705" w:rsidR="009D7907" w:rsidRPr="0079451F" w:rsidRDefault="009D7907"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0,00 EUR-a</w:t>
            </w:r>
          </w:p>
        </w:tc>
        <w:tc>
          <w:tcPr>
            <w:tcW w:w="1985" w:type="dxa"/>
          </w:tcPr>
          <w:p w14:paraId="7313E23D" w14:textId="7BDA1D96" w:rsidR="009D7907" w:rsidRPr="0079451F" w:rsidRDefault="009D7907"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0,00 EUR-a</w:t>
            </w:r>
          </w:p>
        </w:tc>
        <w:tc>
          <w:tcPr>
            <w:tcW w:w="1985" w:type="dxa"/>
          </w:tcPr>
          <w:p w14:paraId="5CDB3D50" w14:textId="68FE256B" w:rsidR="009D7907" w:rsidRDefault="009D7907"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0,00 EUR-a</w:t>
            </w:r>
          </w:p>
        </w:tc>
        <w:tc>
          <w:tcPr>
            <w:tcW w:w="1985" w:type="dxa"/>
          </w:tcPr>
          <w:p w14:paraId="61CC0957" w14:textId="44F23B54" w:rsidR="009D7907" w:rsidRDefault="009D7907" w:rsidP="0079451F">
            <w:pPr>
              <w:suppressAutoHyphens/>
              <w:autoSpaceDN w:val="0"/>
              <w:spacing w:line="240"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0,00 EUR-a</w:t>
            </w:r>
          </w:p>
        </w:tc>
      </w:tr>
    </w:tbl>
    <w:p w14:paraId="703BBEFB" w14:textId="77777777" w:rsidR="008C1CF9" w:rsidRDefault="008C1CF9" w:rsidP="008C1CF9">
      <w:pPr>
        <w:suppressAutoHyphens/>
        <w:autoSpaceDN w:val="0"/>
        <w:spacing w:after="0" w:line="240" w:lineRule="auto"/>
        <w:contextualSpacing/>
        <w:jc w:val="both"/>
        <w:rPr>
          <w:rFonts w:ascii="Times New Roman" w:eastAsia="Times New Roman" w:hAnsi="Times New Roman" w:cs="Times New Roman"/>
          <w:b/>
          <w:bCs/>
          <w:sz w:val="24"/>
          <w:szCs w:val="24"/>
          <w:lang w:eastAsia="hr-HR"/>
        </w:rPr>
      </w:pPr>
    </w:p>
    <w:p w14:paraId="7BE3DFBE" w14:textId="77777777" w:rsidR="008C1CF9" w:rsidRDefault="008C1CF9" w:rsidP="008C1CF9">
      <w:pPr>
        <w:suppressAutoHyphens/>
        <w:autoSpaceDN w:val="0"/>
        <w:spacing w:after="0" w:line="240" w:lineRule="auto"/>
        <w:contextualSpacing/>
        <w:jc w:val="both"/>
        <w:rPr>
          <w:rFonts w:ascii="Times New Roman" w:eastAsia="Times New Roman" w:hAnsi="Times New Roman" w:cs="Times New Roman"/>
          <w:b/>
          <w:bCs/>
          <w:sz w:val="24"/>
          <w:szCs w:val="24"/>
          <w:lang w:eastAsia="hr-HR"/>
        </w:rPr>
      </w:pPr>
    </w:p>
    <w:p w14:paraId="03D4ACF5" w14:textId="77777777" w:rsidR="008C1CF9" w:rsidRDefault="008C1CF9" w:rsidP="008C1CF9">
      <w:pPr>
        <w:suppressAutoHyphens/>
        <w:autoSpaceDN w:val="0"/>
        <w:spacing w:after="0" w:line="240" w:lineRule="auto"/>
        <w:contextualSpacing/>
        <w:jc w:val="both"/>
        <w:rPr>
          <w:rFonts w:ascii="Times New Roman" w:eastAsia="Times New Roman" w:hAnsi="Times New Roman" w:cs="Times New Roman"/>
          <w:b/>
          <w:bCs/>
          <w:sz w:val="24"/>
          <w:szCs w:val="24"/>
          <w:lang w:eastAsia="hr-HR"/>
        </w:rPr>
      </w:pPr>
    </w:p>
    <w:p w14:paraId="3EC1C64C" w14:textId="6401EA2B"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OPIS PLANIRANIH POLITIKA OPĆINE P</w:t>
      </w:r>
      <w:r w:rsidR="008C1CF9">
        <w:rPr>
          <w:rFonts w:ascii="Times New Roman" w:eastAsia="Times New Roman" w:hAnsi="Times New Roman" w:cs="Times New Roman"/>
          <w:b/>
          <w:bCs/>
          <w:sz w:val="24"/>
          <w:szCs w:val="24"/>
          <w:lang w:eastAsia="hr-HR"/>
        </w:rPr>
        <w:t>ROMINA</w:t>
      </w:r>
    </w:p>
    <w:p w14:paraId="2AE13843"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color w:val="FF0000"/>
          <w:sz w:val="24"/>
          <w:szCs w:val="24"/>
          <w:lang w:eastAsia="hr-HR"/>
        </w:rPr>
      </w:pPr>
    </w:p>
    <w:p w14:paraId="1D383656" w14:textId="1EA5F885"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Osnovni ciljevi u provođenju politika Općine Pr</w:t>
      </w:r>
      <w:r w:rsidR="008C1CF9">
        <w:rPr>
          <w:rFonts w:ascii="Times New Roman" w:eastAsia="Times New Roman" w:hAnsi="Times New Roman" w:cs="Times New Roman"/>
          <w:sz w:val="24"/>
          <w:szCs w:val="24"/>
          <w:lang w:eastAsia="hr-HR"/>
        </w:rPr>
        <w:t>omina</w:t>
      </w:r>
      <w:r w:rsidRPr="0079451F">
        <w:rPr>
          <w:rFonts w:ascii="Times New Roman" w:eastAsia="Times New Roman" w:hAnsi="Times New Roman" w:cs="Times New Roman"/>
          <w:sz w:val="24"/>
          <w:szCs w:val="24"/>
          <w:lang w:eastAsia="hr-HR"/>
        </w:rPr>
        <w:t xml:space="preserve"> u narednom trogodišnjem razdoblju biti će usmjereni na poduzimanje svih mjera i aktivnosti za razvoj cjelokupnog područja te za porast životnog standarda stanovništva, a naročito: </w:t>
      </w:r>
    </w:p>
    <w:p w14:paraId="10894C79" w14:textId="77777777" w:rsidR="0079451F" w:rsidRPr="0079451F" w:rsidRDefault="0079451F" w:rsidP="0079451F">
      <w:pPr>
        <w:widowControl w:val="0"/>
        <w:suppressAutoHyphens/>
        <w:spacing w:after="0" w:line="240" w:lineRule="auto"/>
        <w:ind w:hanging="15"/>
        <w:rPr>
          <w:rFonts w:ascii="Times New Roman" w:eastAsia="SimSun" w:hAnsi="Times New Roman" w:cs="Times New Roman"/>
          <w:kern w:val="1"/>
          <w:sz w:val="24"/>
          <w:szCs w:val="24"/>
          <w:lang w:eastAsia="hi-IN" w:bidi="hi-IN"/>
        </w:rPr>
      </w:pPr>
    </w:p>
    <w:p w14:paraId="7E477F84" w14:textId="77777777" w:rsidR="0079451F" w:rsidRPr="0079451F" w:rsidRDefault="0079451F" w:rsidP="0079451F">
      <w:pPr>
        <w:numPr>
          <w:ilvl w:val="0"/>
          <w:numId w:val="5"/>
        </w:numPr>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Unaprjeđenje i održivo korištenje komunalne infrastrukture, prostora i resursa, a prioritet je razvoj infrastrukture</w:t>
      </w:r>
    </w:p>
    <w:p w14:paraId="17F3E8B0" w14:textId="77777777" w:rsidR="0079451F" w:rsidRPr="0079451F" w:rsidRDefault="0079451F" w:rsidP="0079451F">
      <w:pPr>
        <w:numPr>
          <w:ilvl w:val="0"/>
          <w:numId w:val="5"/>
        </w:numPr>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Jačanje gospodarskog razvitka općine</w:t>
      </w:r>
    </w:p>
    <w:p w14:paraId="033253A0" w14:textId="77777777" w:rsidR="0079451F" w:rsidRPr="0079451F" w:rsidRDefault="0079451F" w:rsidP="0079451F">
      <w:pPr>
        <w:numPr>
          <w:ilvl w:val="0"/>
          <w:numId w:val="5"/>
        </w:numPr>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Briga o zdravlju, obrazovanju i socijalnoj sigurnosti građana;</w:t>
      </w:r>
    </w:p>
    <w:p w14:paraId="3CBED0A1" w14:textId="77777777" w:rsidR="0079451F" w:rsidRPr="0079451F" w:rsidRDefault="0079451F" w:rsidP="0079451F">
      <w:pPr>
        <w:numPr>
          <w:ilvl w:val="0"/>
          <w:numId w:val="5"/>
        </w:numPr>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Briga o djeci</w:t>
      </w:r>
    </w:p>
    <w:p w14:paraId="7F569078" w14:textId="77777777" w:rsidR="0079451F" w:rsidRPr="0079451F" w:rsidRDefault="0079451F" w:rsidP="0079451F">
      <w:pPr>
        <w:widowControl w:val="0"/>
        <w:numPr>
          <w:ilvl w:val="0"/>
          <w:numId w:val="5"/>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Promoviranje i poticanje kulture, sporta, tehničke kulture, vatrogastva i drugih </w:t>
      </w:r>
      <w:r w:rsidRPr="0079451F">
        <w:rPr>
          <w:rFonts w:ascii="Times New Roman" w:eastAsia="Times New Roman" w:hAnsi="Times New Roman" w:cs="Times New Roman"/>
          <w:sz w:val="24"/>
          <w:szCs w:val="24"/>
          <w:lang w:eastAsia="hr-HR"/>
        </w:rPr>
        <w:lastRenderedPageBreak/>
        <w:t>društvenih aktivnosti</w:t>
      </w:r>
    </w:p>
    <w:p w14:paraId="36F15696" w14:textId="77777777" w:rsidR="0079451F" w:rsidRPr="0079451F" w:rsidRDefault="0079451F" w:rsidP="0079451F">
      <w:pPr>
        <w:widowControl w:val="0"/>
        <w:numPr>
          <w:ilvl w:val="0"/>
          <w:numId w:val="5"/>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Prostorno-planski razvoj, zaštita okoliša i kulturnih dobara</w:t>
      </w:r>
    </w:p>
    <w:p w14:paraId="2F111C2C" w14:textId="77777777" w:rsidR="0079451F" w:rsidRPr="0079451F" w:rsidRDefault="0079451F" w:rsidP="0079451F">
      <w:pPr>
        <w:widowControl w:val="0"/>
        <w:numPr>
          <w:ilvl w:val="0"/>
          <w:numId w:val="5"/>
        </w:num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Uspostava sustava odgovornog, učinkovitog i transparentnog upravljanja proračunskim sredstvima sukladno Zakonu o fiskalnoj odgovornosti.</w:t>
      </w:r>
    </w:p>
    <w:p w14:paraId="3E729DAD"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4E17B995"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
          <w:bCs/>
          <w:sz w:val="24"/>
          <w:szCs w:val="24"/>
          <w:lang w:eastAsia="hr-HR"/>
        </w:rPr>
      </w:pPr>
    </w:p>
    <w:p w14:paraId="7F376AC2" w14:textId="6F15ACFB" w:rsidR="0079451F" w:rsidRPr="0079451F" w:rsidRDefault="0079451F" w:rsidP="0079451F">
      <w:pPr>
        <w:numPr>
          <w:ilvl w:val="0"/>
          <w:numId w:val="3"/>
        </w:numPr>
        <w:suppressAutoHyphens/>
        <w:autoSpaceDN w:val="0"/>
        <w:spacing w:after="0" w:line="240" w:lineRule="auto"/>
        <w:contextualSpacing/>
        <w:jc w:val="both"/>
        <w:rPr>
          <w:rFonts w:ascii="Times New Roman" w:eastAsia="Times New Roman" w:hAnsi="Times New Roman" w:cs="Times New Roman"/>
          <w:b/>
          <w:bCs/>
          <w:sz w:val="24"/>
          <w:szCs w:val="24"/>
          <w:lang w:eastAsia="hr-HR"/>
        </w:rPr>
      </w:pPr>
      <w:r w:rsidRPr="0079451F">
        <w:rPr>
          <w:rFonts w:ascii="Times New Roman" w:eastAsia="Times New Roman" w:hAnsi="Times New Roman" w:cs="Times New Roman"/>
          <w:b/>
          <w:bCs/>
          <w:sz w:val="24"/>
          <w:szCs w:val="24"/>
          <w:lang w:eastAsia="hr-HR"/>
        </w:rPr>
        <w:t xml:space="preserve">TERMINSKI PLAN ZA IZRADU PRORAČUNA I PRIJEDLOGA FINANCIJSKOG PLANA PRORAČUNSKOG KORISNIKA OPĆINE </w:t>
      </w:r>
      <w:r w:rsidR="008C1CF9">
        <w:rPr>
          <w:rFonts w:ascii="Times New Roman" w:eastAsia="Times New Roman" w:hAnsi="Times New Roman" w:cs="Times New Roman"/>
          <w:b/>
          <w:bCs/>
          <w:sz w:val="24"/>
          <w:szCs w:val="24"/>
          <w:lang w:eastAsia="hr-HR"/>
        </w:rPr>
        <w:t>PROMINA</w:t>
      </w:r>
    </w:p>
    <w:p w14:paraId="0C078852" w14:textId="77777777" w:rsidR="0079451F" w:rsidRPr="0079451F" w:rsidRDefault="0079451F" w:rsidP="0079451F">
      <w:pPr>
        <w:tabs>
          <w:tab w:val="left" w:pos="0"/>
        </w:tabs>
        <w:suppressAutoHyphens/>
        <w:autoSpaceDN w:val="0"/>
        <w:spacing w:after="0" w:line="240" w:lineRule="auto"/>
        <w:rPr>
          <w:rFonts w:ascii="Times New Roman" w:eastAsia="Times New Roman" w:hAnsi="Times New Roman" w:cs="Arial"/>
          <w:sz w:val="24"/>
          <w:szCs w:val="24"/>
          <w:lang w:eastAsia="hr-HR"/>
        </w:rPr>
      </w:pPr>
    </w:p>
    <w:p w14:paraId="18055E6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21023F46" w14:textId="5E104E83"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Proračunski korisnik Općine Pr</w:t>
      </w:r>
      <w:r w:rsidR="00A066CA">
        <w:rPr>
          <w:rFonts w:ascii="Times New Roman" w:eastAsia="Times New Roman" w:hAnsi="Times New Roman" w:cs="Times New Roman"/>
          <w:bCs/>
          <w:sz w:val="24"/>
          <w:szCs w:val="24"/>
          <w:lang w:eastAsia="hr-HR"/>
        </w:rPr>
        <w:t>omina</w:t>
      </w:r>
      <w:r w:rsidRPr="0079451F">
        <w:rPr>
          <w:rFonts w:ascii="Times New Roman" w:eastAsia="Times New Roman" w:hAnsi="Times New Roman" w:cs="Times New Roman"/>
          <w:bCs/>
          <w:sz w:val="24"/>
          <w:szCs w:val="24"/>
          <w:lang w:eastAsia="hr-HR"/>
        </w:rPr>
        <w:t xml:space="preserve"> dužan je dostaviti prijedlog svog financijskog plana </w:t>
      </w:r>
      <w:r w:rsidR="00A066CA">
        <w:rPr>
          <w:rFonts w:ascii="Times New Roman" w:eastAsia="Times New Roman" w:hAnsi="Times New Roman" w:cs="Times New Roman"/>
          <w:bCs/>
          <w:sz w:val="24"/>
          <w:szCs w:val="24"/>
          <w:lang w:eastAsia="hr-HR"/>
        </w:rPr>
        <w:t>Upravnom odjelu za društvene djelatnosti, proračun, financije, nadzor i javne prihode</w:t>
      </w:r>
      <w:r w:rsidRPr="0079451F">
        <w:rPr>
          <w:rFonts w:ascii="Times New Roman" w:eastAsia="Times New Roman" w:hAnsi="Times New Roman" w:cs="Times New Roman"/>
          <w:bCs/>
          <w:sz w:val="24"/>
          <w:szCs w:val="24"/>
          <w:lang w:eastAsia="hr-HR"/>
        </w:rPr>
        <w:t xml:space="preserve"> do 0</w:t>
      </w:r>
      <w:r w:rsidR="00A066CA">
        <w:rPr>
          <w:rFonts w:ascii="Times New Roman" w:eastAsia="Times New Roman" w:hAnsi="Times New Roman" w:cs="Times New Roman"/>
          <w:bCs/>
          <w:sz w:val="24"/>
          <w:szCs w:val="24"/>
          <w:lang w:eastAsia="hr-HR"/>
        </w:rPr>
        <w:t>2</w:t>
      </w:r>
      <w:r w:rsidRPr="0079451F">
        <w:rPr>
          <w:rFonts w:ascii="Times New Roman" w:eastAsia="Times New Roman" w:hAnsi="Times New Roman" w:cs="Times New Roman"/>
          <w:bCs/>
          <w:sz w:val="24"/>
          <w:szCs w:val="24"/>
          <w:lang w:eastAsia="hr-HR"/>
        </w:rPr>
        <w:t>. studenog 202</w:t>
      </w:r>
      <w:r w:rsidR="006015B9">
        <w:rPr>
          <w:rFonts w:ascii="Times New Roman" w:eastAsia="Times New Roman" w:hAnsi="Times New Roman" w:cs="Times New Roman"/>
          <w:bCs/>
          <w:sz w:val="24"/>
          <w:szCs w:val="24"/>
          <w:lang w:eastAsia="hr-HR"/>
        </w:rPr>
        <w:t>6</w:t>
      </w:r>
      <w:r w:rsidRPr="0079451F">
        <w:rPr>
          <w:rFonts w:ascii="Times New Roman" w:eastAsia="Times New Roman" w:hAnsi="Times New Roman" w:cs="Times New Roman"/>
          <w:bCs/>
          <w:sz w:val="24"/>
          <w:szCs w:val="24"/>
          <w:lang w:eastAsia="hr-HR"/>
        </w:rPr>
        <w:t xml:space="preserve">. godine. Financijski planovi moraju biti izrađeni sukladno propisanoj metodologiji i financijskim okvirima zadanim ovim Uputama. </w:t>
      </w:r>
    </w:p>
    <w:p w14:paraId="6E423552"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D048345" w14:textId="1C7A0123" w:rsidR="0079451F" w:rsidRPr="0079451F" w:rsidRDefault="00A066CA"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A066CA">
        <w:rPr>
          <w:rFonts w:ascii="Times New Roman" w:eastAsia="Times New Roman" w:hAnsi="Times New Roman" w:cs="Times New Roman"/>
          <w:bCs/>
          <w:sz w:val="24"/>
          <w:szCs w:val="24"/>
          <w:lang w:eastAsia="hr-HR"/>
        </w:rPr>
        <w:t>Upravn</w:t>
      </w:r>
      <w:r>
        <w:rPr>
          <w:rFonts w:ascii="Times New Roman" w:eastAsia="Times New Roman" w:hAnsi="Times New Roman" w:cs="Times New Roman"/>
          <w:bCs/>
          <w:sz w:val="24"/>
          <w:szCs w:val="24"/>
          <w:lang w:eastAsia="hr-HR"/>
        </w:rPr>
        <w:t>i</w:t>
      </w:r>
      <w:r w:rsidRPr="00A066CA">
        <w:rPr>
          <w:rFonts w:ascii="Times New Roman" w:eastAsia="Times New Roman" w:hAnsi="Times New Roman" w:cs="Times New Roman"/>
          <w:bCs/>
          <w:sz w:val="24"/>
          <w:szCs w:val="24"/>
          <w:lang w:eastAsia="hr-HR"/>
        </w:rPr>
        <w:t xml:space="preserve"> odjelu za društvene djelatnosti, proračun, financije, nadzor i javne prihode </w:t>
      </w:r>
      <w:r w:rsidR="0079451F" w:rsidRPr="0079451F">
        <w:rPr>
          <w:rFonts w:ascii="Times New Roman" w:eastAsia="Times New Roman" w:hAnsi="Times New Roman" w:cs="Times New Roman"/>
          <w:bCs/>
          <w:sz w:val="24"/>
          <w:szCs w:val="24"/>
          <w:lang w:eastAsia="hr-HR"/>
        </w:rPr>
        <w:t>razmatra prijedloge i usklađuje financijske planove s procijenjenim prihodima te izrađuje nacrt prijedloga Proračuna Općine Pr</w:t>
      </w:r>
      <w:r>
        <w:rPr>
          <w:rFonts w:ascii="Times New Roman" w:eastAsia="Times New Roman" w:hAnsi="Times New Roman" w:cs="Times New Roman"/>
          <w:bCs/>
          <w:sz w:val="24"/>
          <w:szCs w:val="24"/>
          <w:lang w:eastAsia="hr-HR"/>
        </w:rPr>
        <w:t>omina</w:t>
      </w:r>
      <w:r w:rsidR="0079451F" w:rsidRPr="0079451F">
        <w:rPr>
          <w:rFonts w:ascii="Times New Roman" w:eastAsia="Times New Roman" w:hAnsi="Times New Roman" w:cs="Times New Roman"/>
          <w:bCs/>
          <w:sz w:val="24"/>
          <w:szCs w:val="24"/>
          <w:lang w:eastAsia="hr-HR"/>
        </w:rPr>
        <w:t xml:space="preserve"> za 202</w:t>
      </w:r>
      <w:r w:rsidR="006015B9">
        <w:rPr>
          <w:rFonts w:ascii="Times New Roman" w:eastAsia="Times New Roman" w:hAnsi="Times New Roman" w:cs="Times New Roman"/>
          <w:bCs/>
          <w:sz w:val="24"/>
          <w:szCs w:val="24"/>
          <w:lang w:eastAsia="hr-HR"/>
        </w:rPr>
        <w:t>7</w:t>
      </w:r>
      <w:r w:rsidR="0079451F" w:rsidRPr="0079451F">
        <w:rPr>
          <w:rFonts w:ascii="Times New Roman" w:eastAsia="Times New Roman" w:hAnsi="Times New Roman" w:cs="Times New Roman"/>
          <w:bCs/>
          <w:sz w:val="24"/>
          <w:szCs w:val="24"/>
          <w:lang w:eastAsia="hr-HR"/>
        </w:rPr>
        <w:t>. godinu, projekcije za 202</w:t>
      </w:r>
      <w:r w:rsidR="006015B9">
        <w:rPr>
          <w:rFonts w:ascii="Times New Roman" w:eastAsia="Times New Roman" w:hAnsi="Times New Roman" w:cs="Times New Roman"/>
          <w:bCs/>
          <w:sz w:val="24"/>
          <w:szCs w:val="24"/>
          <w:lang w:eastAsia="hr-HR"/>
        </w:rPr>
        <w:t>8</w:t>
      </w:r>
      <w:r w:rsidR="0079451F" w:rsidRPr="0079451F">
        <w:rPr>
          <w:rFonts w:ascii="Times New Roman" w:eastAsia="Times New Roman" w:hAnsi="Times New Roman" w:cs="Times New Roman"/>
          <w:bCs/>
          <w:sz w:val="24"/>
          <w:szCs w:val="24"/>
          <w:lang w:eastAsia="hr-HR"/>
        </w:rPr>
        <w:t>. i 202</w:t>
      </w:r>
      <w:r w:rsidR="006015B9">
        <w:rPr>
          <w:rFonts w:ascii="Times New Roman" w:eastAsia="Times New Roman" w:hAnsi="Times New Roman" w:cs="Times New Roman"/>
          <w:bCs/>
          <w:sz w:val="24"/>
          <w:szCs w:val="24"/>
          <w:lang w:eastAsia="hr-HR"/>
        </w:rPr>
        <w:t>9</w:t>
      </w:r>
      <w:r w:rsidR="0079451F" w:rsidRPr="0079451F">
        <w:rPr>
          <w:rFonts w:ascii="Times New Roman" w:eastAsia="Times New Roman" w:hAnsi="Times New Roman" w:cs="Times New Roman"/>
          <w:bCs/>
          <w:sz w:val="24"/>
          <w:szCs w:val="24"/>
          <w:lang w:eastAsia="hr-HR"/>
        </w:rPr>
        <w:t>. godinu, te ih dostavlja načelniku Općine Pr</w:t>
      </w:r>
      <w:r>
        <w:rPr>
          <w:rFonts w:ascii="Times New Roman" w:eastAsia="Times New Roman" w:hAnsi="Times New Roman" w:cs="Times New Roman"/>
          <w:bCs/>
          <w:sz w:val="24"/>
          <w:szCs w:val="24"/>
          <w:lang w:eastAsia="hr-HR"/>
        </w:rPr>
        <w:t>omina</w:t>
      </w:r>
      <w:r w:rsidR="0079451F" w:rsidRPr="0079451F">
        <w:rPr>
          <w:rFonts w:ascii="Times New Roman" w:eastAsia="Times New Roman" w:hAnsi="Times New Roman" w:cs="Times New Roman"/>
          <w:bCs/>
          <w:sz w:val="24"/>
          <w:szCs w:val="24"/>
          <w:lang w:eastAsia="hr-HR"/>
        </w:rPr>
        <w:t xml:space="preserve"> do 05. studenog 202</w:t>
      </w:r>
      <w:r w:rsidR="006015B9">
        <w:rPr>
          <w:rFonts w:ascii="Times New Roman" w:eastAsia="Times New Roman" w:hAnsi="Times New Roman" w:cs="Times New Roman"/>
          <w:bCs/>
          <w:sz w:val="24"/>
          <w:szCs w:val="24"/>
          <w:lang w:eastAsia="hr-HR"/>
        </w:rPr>
        <w:t>6</w:t>
      </w:r>
      <w:r w:rsidR="0079451F" w:rsidRPr="0079451F">
        <w:rPr>
          <w:rFonts w:ascii="Times New Roman" w:eastAsia="Times New Roman" w:hAnsi="Times New Roman" w:cs="Times New Roman"/>
          <w:bCs/>
          <w:sz w:val="24"/>
          <w:szCs w:val="24"/>
          <w:lang w:eastAsia="hr-HR"/>
        </w:rPr>
        <w:t>.godine.</w:t>
      </w:r>
    </w:p>
    <w:p w14:paraId="312CF144"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243099A4" w14:textId="2B06D40E"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r w:rsidRPr="0079451F">
        <w:rPr>
          <w:rFonts w:ascii="Times New Roman" w:eastAsia="Times New Roman" w:hAnsi="Times New Roman" w:cs="Times New Roman"/>
          <w:bCs/>
          <w:sz w:val="24"/>
          <w:szCs w:val="24"/>
          <w:lang w:eastAsia="hr-HR"/>
        </w:rPr>
        <w:t>Načelnik Općine utvrđuje prijedlog Plana proračuna Općine Pr</w:t>
      </w:r>
      <w:r w:rsidR="00A066CA">
        <w:rPr>
          <w:rFonts w:ascii="Times New Roman" w:eastAsia="Times New Roman" w:hAnsi="Times New Roman" w:cs="Times New Roman"/>
          <w:bCs/>
          <w:sz w:val="24"/>
          <w:szCs w:val="24"/>
          <w:lang w:eastAsia="hr-HR"/>
        </w:rPr>
        <w:t>omina</w:t>
      </w:r>
      <w:r w:rsidRPr="0079451F">
        <w:rPr>
          <w:rFonts w:ascii="Times New Roman" w:eastAsia="Times New Roman" w:hAnsi="Times New Roman" w:cs="Times New Roman"/>
          <w:bCs/>
          <w:sz w:val="24"/>
          <w:szCs w:val="24"/>
          <w:lang w:eastAsia="hr-HR"/>
        </w:rPr>
        <w:t xml:space="preserve"> za 202</w:t>
      </w:r>
      <w:r w:rsidR="006015B9">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godinu s projekcijama za 202</w:t>
      </w:r>
      <w:r w:rsidR="006015B9">
        <w:rPr>
          <w:rFonts w:ascii="Times New Roman" w:eastAsia="Times New Roman" w:hAnsi="Times New Roman" w:cs="Times New Roman"/>
          <w:bCs/>
          <w:sz w:val="24"/>
          <w:szCs w:val="24"/>
          <w:lang w:eastAsia="hr-HR"/>
        </w:rPr>
        <w:t>8</w:t>
      </w:r>
      <w:r w:rsidRPr="0079451F">
        <w:rPr>
          <w:rFonts w:ascii="Times New Roman" w:eastAsia="Times New Roman" w:hAnsi="Times New Roman" w:cs="Times New Roman"/>
          <w:bCs/>
          <w:sz w:val="24"/>
          <w:szCs w:val="24"/>
          <w:lang w:eastAsia="hr-HR"/>
        </w:rPr>
        <w:t>. i 202</w:t>
      </w:r>
      <w:r w:rsidR="006015B9">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 xml:space="preserve">. godinu te ih podnosi Općinskom vijeću na donošenje do </w:t>
      </w:r>
      <w:r w:rsidR="00A066CA">
        <w:rPr>
          <w:rFonts w:ascii="Times New Roman" w:eastAsia="Times New Roman" w:hAnsi="Times New Roman" w:cs="Times New Roman"/>
          <w:bCs/>
          <w:sz w:val="24"/>
          <w:szCs w:val="24"/>
          <w:lang w:eastAsia="hr-HR"/>
        </w:rPr>
        <w:t>kraja prosinca 202</w:t>
      </w:r>
      <w:r w:rsidR="006015B9">
        <w:rPr>
          <w:rFonts w:ascii="Times New Roman" w:eastAsia="Times New Roman" w:hAnsi="Times New Roman" w:cs="Times New Roman"/>
          <w:bCs/>
          <w:sz w:val="24"/>
          <w:szCs w:val="24"/>
          <w:lang w:eastAsia="hr-HR"/>
        </w:rPr>
        <w:t>6</w:t>
      </w:r>
      <w:r w:rsidR="00A066CA">
        <w:rPr>
          <w:rFonts w:ascii="Times New Roman" w:eastAsia="Times New Roman" w:hAnsi="Times New Roman" w:cs="Times New Roman"/>
          <w:bCs/>
          <w:sz w:val="24"/>
          <w:szCs w:val="24"/>
          <w:lang w:eastAsia="hr-HR"/>
        </w:rPr>
        <w:t>. godine.</w:t>
      </w:r>
    </w:p>
    <w:p w14:paraId="7782FD8B"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bCs/>
          <w:sz w:val="24"/>
          <w:szCs w:val="24"/>
          <w:lang w:eastAsia="hr-HR"/>
        </w:rPr>
      </w:pPr>
    </w:p>
    <w:p w14:paraId="7745BCF2"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Arial"/>
          <w:sz w:val="24"/>
          <w:szCs w:val="24"/>
          <w:lang w:eastAsia="hr-HR"/>
        </w:rPr>
      </w:pPr>
      <w:r w:rsidRPr="0079451F">
        <w:rPr>
          <w:rFonts w:ascii="Times New Roman" w:eastAsia="Times New Roman" w:hAnsi="Times New Roman" w:cs="Arial"/>
          <w:sz w:val="24"/>
          <w:szCs w:val="24"/>
          <w:lang w:eastAsia="hr-HR"/>
        </w:rPr>
        <w:t xml:space="preserve">Predstavničko tijelo donosi proračun za iduću proračunsku godinu i projekciju za sljedeće dvije proračunske godine do konca tekuće godine i to u roku koji omogućuje primjenu proračuna od 1. siječnja godine za koju se odnosi proračun.  </w:t>
      </w:r>
    </w:p>
    <w:p w14:paraId="496E8F11"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Arial"/>
          <w:sz w:val="24"/>
          <w:szCs w:val="24"/>
          <w:lang w:eastAsia="hr-HR"/>
        </w:rPr>
      </w:pPr>
    </w:p>
    <w:p w14:paraId="3173627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Arial"/>
          <w:sz w:val="24"/>
          <w:szCs w:val="24"/>
          <w:lang w:eastAsia="hr-HR"/>
        </w:rPr>
      </w:pPr>
    </w:p>
    <w:p w14:paraId="3294EFD5" w14:textId="77777777" w:rsidR="0079451F" w:rsidRPr="0079451F" w:rsidRDefault="0079451F" w:rsidP="0079451F">
      <w:pPr>
        <w:numPr>
          <w:ilvl w:val="0"/>
          <w:numId w:val="3"/>
        </w:numPr>
        <w:tabs>
          <w:tab w:val="left" w:pos="0"/>
        </w:tabs>
        <w:suppressAutoHyphens/>
        <w:autoSpaceDN w:val="0"/>
        <w:spacing w:after="0" w:line="240" w:lineRule="auto"/>
        <w:contextualSpacing/>
        <w:jc w:val="both"/>
        <w:rPr>
          <w:rFonts w:ascii="Times New Roman" w:eastAsia="Times New Roman" w:hAnsi="Times New Roman" w:cs="Arial"/>
          <w:b/>
          <w:sz w:val="24"/>
          <w:szCs w:val="24"/>
          <w:lang w:eastAsia="hr-HR"/>
        </w:rPr>
      </w:pPr>
      <w:r w:rsidRPr="0079451F">
        <w:rPr>
          <w:rFonts w:ascii="Times New Roman" w:eastAsia="Times New Roman" w:hAnsi="Times New Roman" w:cs="Times New Roman"/>
          <w:b/>
          <w:sz w:val="24"/>
          <w:szCs w:val="24"/>
          <w:lang w:eastAsia="hr-HR"/>
        </w:rPr>
        <w:t xml:space="preserve">POSLOVANJE JEDINICA LOKALNE I PODRUČNE (REGIONALNE) SAMOUPRAVE PREKO JEDINSTVENOG RAČUNA PRORAČUNA </w:t>
      </w:r>
    </w:p>
    <w:p w14:paraId="16C1833E"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18D4923B"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Temeljem članka 50. st.2. Zakona o proračunu jedinice lokalne i područne (regionalne) samouprave obvezne su imati jedinstveni račun proračuna koji se otvara i vodi u kreditnoj instituciji, a na kojem se ostvaruju svi priljevi i izvršavaju svi odljevi proračuna i proračunskih korisnika jedinice lokalne i područne (regionalne) samouprave. </w:t>
      </w:r>
    </w:p>
    <w:p w14:paraId="2DFA977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01913BE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Sustav poslovanja preko jedinstvenog računa proračuna podržava efikasno upravljanje viškovima i manjkovima proračunskog sustava, pruža točne i pravovremene informacije o novčanim tokovima proračuna i proračunskih korisnika, omogućava sveobuhvatnije i točnije projekcije likvidnosti te praćenje i nadzor nad naplatom prihoda i primitaka i drugih priljeva odnosno pravovremeno izvršavanje rashoda i izdataka i drugih odljeva, što osigurava realnije i kvalitetnije planiranje i izvršavanje proračuna. </w:t>
      </w:r>
    </w:p>
    <w:p w14:paraId="3BB48D19"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1895D30D"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Pravilnik o proračunskom računovodstvu i Računskom planu dodatno je, kao nadogradnju jedinstvenom računu proračuna, propisao obvezu uvođenja Objedinjene glavne knjige proračuna, sustava koji, kao nadopuna postojećim Glavnim knjigama proračuna i Glavnim knjigama proračunskih korisnika, na jednom mjestu objedinjava podatke o poslovnim događajima iz Glavne knjige proračuna i Glavnih knjiga proračunskih korisnika iz nadležnosti </w:t>
      </w:r>
      <w:r w:rsidRPr="0079451F">
        <w:rPr>
          <w:rFonts w:ascii="Times New Roman" w:eastAsia="Times New Roman" w:hAnsi="Times New Roman" w:cs="Times New Roman"/>
          <w:sz w:val="24"/>
          <w:szCs w:val="24"/>
          <w:lang w:eastAsia="hr-HR"/>
        </w:rPr>
        <w:lastRenderedPageBreak/>
        <w:t xml:space="preserve">proračuna. Proračuni čiji su proračunski korisnici u trenutku stupanja na snagu Pravilnika poslovali preko jedinstvenog računa proračuna, bili su obvezni uspostaviti Objedinjenu glavnu knjigu proračuna do 1. siječnja 2025. </w:t>
      </w:r>
    </w:p>
    <w:p w14:paraId="46CE45EE"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725D9BBE"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Proračuni čiji proračunski korisnici u trenutku stupanja na snagu ovoga Pravilnika ne posluju preko jedinstvenog računa proračuna već preko vlastitih računa u poslovnim bankama, obvezni su uspostaviti Objedinjenu glavnu knjigu proračuna do 1. siječnja 2026. Objedinjena glavna knjiga na razini nadležnog proračuna omogućava potpunije podatke i brži pristup podacima proračunskih korisnika potrebnih za praćenje dinamike stvaranja rashoda i obveza proračunskih korisnika prema modificiranom načelu nastanka događaja, za bolje planiranje likvidnost proračuna i potrebu za zaduživanjem, te automatiziranu usklađenost podataka na eliminacijskim računima kod konsolidacije financijskih izvještaja proračuna te cjelovitije podatke za preliminarne izračune rezultata po završetku obračunskih razdoblja. </w:t>
      </w:r>
    </w:p>
    <w:p w14:paraId="0C2CB187" w14:textId="77777777" w:rsid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59988C16" w14:textId="77777777" w:rsidR="00504BB6" w:rsidRDefault="00504BB6"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456D0EBA" w14:textId="77777777" w:rsidR="00504BB6" w:rsidRDefault="00504BB6"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7C56A0AF" w14:textId="77777777" w:rsidR="00504BB6" w:rsidRDefault="00504BB6"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3E54A101" w14:textId="77777777" w:rsidR="00504BB6" w:rsidRPr="0079451F" w:rsidRDefault="00504BB6"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29A331EE"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74BF3F8A" w14:textId="77777777" w:rsidR="0079451F" w:rsidRPr="0079451F" w:rsidRDefault="0079451F" w:rsidP="0079451F">
      <w:pPr>
        <w:numPr>
          <w:ilvl w:val="0"/>
          <w:numId w:val="3"/>
        </w:numPr>
        <w:tabs>
          <w:tab w:val="left" w:pos="0"/>
        </w:tabs>
        <w:suppressAutoHyphens/>
        <w:autoSpaceDN w:val="0"/>
        <w:spacing w:after="0" w:line="240" w:lineRule="auto"/>
        <w:contextualSpacing/>
        <w:jc w:val="both"/>
        <w:rPr>
          <w:rFonts w:ascii="Times New Roman" w:eastAsia="Times New Roman" w:hAnsi="Times New Roman" w:cs="Arial"/>
          <w:b/>
          <w:sz w:val="24"/>
          <w:szCs w:val="24"/>
          <w:lang w:eastAsia="hr-HR"/>
        </w:rPr>
      </w:pPr>
      <w:r w:rsidRPr="0079451F">
        <w:rPr>
          <w:rFonts w:ascii="Times New Roman" w:eastAsia="Times New Roman" w:hAnsi="Times New Roman" w:cs="Arial"/>
          <w:b/>
          <w:sz w:val="24"/>
          <w:szCs w:val="24"/>
          <w:lang w:eastAsia="hr-HR"/>
        </w:rPr>
        <w:t>NOVI PRORAČUNSKI PROPISI KOJI SE PRIMJENJUJU OD 1. SIJEČNJA 2026. GODINE</w:t>
      </w:r>
    </w:p>
    <w:p w14:paraId="67F5874B"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51543351"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Arial"/>
          <w:sz w:val="24"/>
          <w:szCs w:val="24"/>
          <w:lang w:eastAsia="hr-HR"/>
        </w:rPr>
      </w:pPr>
    </w:p>
    <w:p w14:paraId="264199E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Pravilnik o planiranju u sustavu proračuna (Narodne novine, br. 1/2024) </w:t>
      </w:r>
    </w:p>
    <w:p w14:paraId="3DBAB100"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3E2524AB"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Pravilnik o planiranju u sustavu proračuna u primjeni je od proračunskog procesa za razdoblje 2025. – 2027. a propisuje: </w:t>
      </w:r>
    </w:p>
    <w:p w14:paraId="31FC7B87" w14:textId="77777777" w:rsidR="0079451F" w:rsidRPr="0079451F" w:rsidRDefault="0079451F" w:rsidP="0079451F">
      <w:pPr>
        <w:numPr>
          <w:ilvl w:val="0"/>
          <w:numId w:val="6"/>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način primjene modificiranog novčanog načela, odnosno modificiranog obračunskog načela u postupku planiranja i izvršavanja proračuna i financijskog plana, </w:t>
      </w:r>
    </w:p>
    <w:p w14:paraId="3E1BC7DB" w14:textId="77777777" w:rsidR="0079451F" w:rsidRPr="0079451F" w:rsidRDefault="0079451F" w:rsidP="0079451F">
      <w:pPr>
        <w:numPr>
          <w:ilvl w:val="0"/>
          <w:numId w:val="6"/>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izgled i sadržaj, dostava i objava proračuna odnosno financijskog plana, rebalansa proračuna i financijskog plana te</w:t>
      </w:r>
    </w:p>
    <w:p w14:paraId="4ACEDFEB" w14:textId="77777777" w:rsidR="0079451F" w:rsidRPr="0079451F" w:rsidRDefault="0079451F" w:rsidP="0079451F">
      <w:pPr>
        <w:numPr>
          <w:ilvl w:val="0"/>
          <w:numId w:val="6"/>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uvjeti i pravila preraspodjele sredstava proračuna. </w:t>
      </w:r>
    </w:p>
    <w:p w14:paraId="7D711F85" w14:textId="77777777" w:rsidR="0079451F" w:rsidRPr="0079451F" w:rsidRDefault="0079451F" w:rsidP="0079451F">
      <w:pPr>
        <w:tabs>
          <w:tab w:val="left" w:pos="0"/>
        </w:tabs>
        <w:suppressAutoHyphens/>
        <w:autoSpaceDN w:val="0"/>
        <w:spacing w:after="0" w:line="240" w:lineRule="auto"/>
        <w:ind w:left="360"/>
        <w:jc w:val="both"/>
        <w:rPr>
          <w:rFonts w:ascii="Times New Roman" w:eastAsia="Times New Roman" w:hAnsi="Times New Roman" w:cs="Times New Roman"/>
          <w:sz w:val="24"/>
          <w:szCs w:val="24"/>
          <w:lang w:eastAsia="hr-HR"/>
        </w:rPr>
      </w:pPr>
    </w:p>
    <w:p w14:paraId="77D339C2"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Pravilnik u člancima 10. do 13., sadrži detaljne odredbe vezane uz primjenu modificiranog obračunskog načela u izradi proračuna jedinica lokalne i područne (regionalne) samouprave i financijskih planova. Sadržaj i izgled proračuna i financijskog plana propisan je člancima 14. do 24. te člancima 28. do 40. Pravilnika. </w:t>
      </w:r>
    </w:p>
    <w:p w14:paraId="7D5BBED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43B4FF38"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Tablični prikaz sadržaja i izgleda proračuna i financijskog plana dan u prilozima Pravilnika dodatno se daje i u Prilozima 1. i 2. ove Upute.</w:t>
      </w:r>
    </w:p>
    <w:p w14:paraId="11AFDB5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227E63D6"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Pravilnik o proračunskom računovodstvu i Računskom planu (Narodne novine, br. </w:t>
      </w:r>
    </w:p>
    <w:p w14:paraId="65C8CA4D"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158/23 i 154/24) </w:t>
      </w:r>
    </w:p>
    <w:p w14:paraId="6305E9B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p>
    <w:p w14:paraId="74E37049" w14:textId="1B8C7711"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 planiranju proračuna i financijskih planova za 202</w:t>
      </w:r>
      <w:r w:rsidR="00852082">
        <w:rPr>
          <w:rFonts w:ascii="Times New Roman" w:eastAsia="Times New Roman" w:hAnsi="Times New Roman" w:cs="Times New Roman"/>
          <w:sz w:val="24"/>
          <w:szCs w:val="24"/>
          <w:lang w:eastAsia="hr-HR"/>
        </w:rPr>
        <w:t>7</w:t>
      </w:r>
      <w:r w:rsidRPr="0079451F">
        <w:rPr>
          <w:rFonts w:ascii="Times New Roman" w:eastAsia="Times New Roman" w:hAnsi="Times New Roman" w:cs="Times New Roman"/>
          <w:sz w:val="24"/>
          <w:szCs w:val="24"/>
          <w:lang w:eastAsia="hr-HR"/>
        </w:rPr>
        <w:t>. i projekcija za 202</w:t>
      </w:r>
      <w:r w:rsidR="00852082">
        <w:rPr>
          <w:rFonts w:ascii="Times New Roman" w:eastAsia="Times New Roman" w:hAnsi="Times New Roman" w:cs="Times New Roman"/>
          <w:sz w:val="24"/>
          <w:szCs w:val="24"/>
          <w:lang w:eastAsia="hr-HR"/>
        </w:rPr>
        <w:t>8</w:t>
      </w:r>
      <w:r w:rsidRPr="0079451F">
        <w:rPr>
          <w:rFonts w:ascii="Times New Roman" w:eastAsia="Times New Roman" w:hAnsi="Times New Roman" w:cs="Times New Roman"/>
          <w:sz w:val="24"/>
          <w:szCs w:val="24"/>
          <w:lang w:eastAsia="hr-HR"/>
        </w:rPr>
        <w:t>. i 202</w:t>
      </w:r>
      <w:r w:rsidR="00852082">
        <w:rPr>
          <w:rFonts w:ascii="Times New Roman" w:eastAsia="Times New Roman" w:hAnsi="Times New Roman" w:cs="Times New Roman"/>
          <w:sz w:val="24"/>
          <w:szCs w:val="24"/>
          <w:lang w:eastAsia="hr-HR"/>
        </w:rPr>
        <w:t>9</w:t>
      </w:r>
      <w:r w:rsidRPr="0079451F">
        <w:rPr>
          <w:rFonts w:ascii="Times New Roman" w:eastAsia="Times New Roman" w:hAnsi="Times New Roman" w:cs="Times New Roman"/>
          <w:sz w:val="24"/>
          <w:szCs w:val="24"/>
          <w:lang w:eastAsia="hr-HR"/>
        </w:rPr>
        <w:t xml:space="preserve">. koristi se </w:t>
      </w:r>
    </w:p>
    <w:p w14:paraId="54578ED0"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ekonomska klasifikacija propisana Pravilnikom o proračunskom računovodstvu i Računskom </w:t>
      </w:r>
    </w:p>
    <w:p w14:paraId="3E0EA9CA"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planu. U Uputama za izradu proračuna jedinica lokalne i područne (regionalne) samouprave </w:t>
      </w:r>
    </w:p>
    <w:p w14:paraId="53947742" w14:textId="04FCBCC8"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za razdoblje 202</w:t>
      </w:r>
      <w:r w:rsidR="00852082">
        <w:rPr>
          <w:rFonts w:ascii="Times New Roman" w:eastAsia="Times New Roman" w:hAnsi="Times New Roman" w:cs="Times New Roman"/>
          <w:sz w:val="24"/>
          <w:szCs w:val="24"/>
          <w:lang w:eastAsia="hr-HR"/>
        </w:rPr>
        <w:t>7</w:t>
      </w:r>
      <w:r w:rsidRPr="0079451F">
        <w:rPr>
          <w:rFonts w:ascii="Times New Roman" w:eastAsia="Times New Roman" w:hAnsi="Times New Roman" w:cs="Times New Roman"/>
          <w:sz w:val="24"/>
          <w:szCs w:val="24"/>
          <w:lang w:eastAsia="hr-HR"/>
        </w:rPr>
        <w:t>. - 202</w:t>
      </w:r>
      <w:r w:rsidR="00852082">
        <w:rPr>
          <w:rFonts w:ascii="Times New Roman" w:eastAsia="Times New Roman" w:hAnsi="Times New Roman" w:cs="Times New Roman"/>
          <w:sz w:val="24"/>
          <w:szCs w:val="24"/>
          <w:lang w:eastAsia="hr-HR"/>
        </w:rPr>
        <w:t>9</w:t>
      </w:r>
      <w:r w:rsidRPr="0079451F">
        <w:rPr>
          <w:rFonts w:ascii="Times New Roman" w:eastAsia="Times New Roman" w:hAnsi="Times New Roman" w:cs="Times New Roman"/>
          <w:sz w:val="24"/>
          <w:szCs w:val="24"/>
          <w:lang w:eastAsia="hr-HR"/>
        </w:rPr>
        <w:t xml:space="preserve">. dan je detaljan prikaz izmjena računskog plana za potrebe procesa </w:t>
      </w:r>
    </w:p>
    <w:p w14:paraId="01B006C2" w14:textId="555A9275"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izrade proračuna i financijskih planova za razdoblje 202</w:t>
      </w:r>
      <w:r w:rsidR="00852082">
        <w:rPr>
          <w:rFonts w:ascii="Times New Roman" w:eastAsia="Times New Roman" w:hAnsi="Times New Roman" w:cs="Times New Roman"/>
          <w:sz w:val="24"/>
          <w:szCs w:val="24"/>
          <w:lang w:eastAsia="hr-HR"/>
        </w:rPr>
        <w:t>7</w:t>
      </w:r>
      <w:r w:rsidRPr="0079451F">
        <w:rPr>
          <w:rFonts w:ascii="Times New Roman" w:eastAsia="Times New Roman" w:hAnsi="Times New Roman" w:cs="Times New Roman"/>
          <w:sz w:val="24"/>
          <w:szCs w:val="24"/>
          <w:lang w:eastAsia="hr-HR"/>
        </w:rPr>
        <w:t>.- 202</w:t>
      </w:r>
      <w:r w:rsidR="00852082">
        <w:rPr>
          <w:rFonts w:ascii="Times New Roman" w:eastAsia="Times New Roman" w:hAnsi="Times New Roman" w:cs="Times New Roman"/>
          <w:sz w:val="24"/>
          <w:szCs w:val="24"/>
          <w:lang w:eastAsia="hr-HR"/>
        </w:rPr>
        <w:t>9</w:t>
      </w:r>
      <w:r w:rsidRPr="0079451F">
        <w:rPr>
          <w:rFonts w:ascii="Times New Roman" w:eastAsia="Times New Roman" w:hAnsi="Times New Roman" w:cs="Times New Roman"/>
          <w:sz w:val="24"/>
          <w:szCs w:val="24"/>
          <w:lang w:eastAsia="hr-HR"/>
        </w:rPr>
        <w:t xml:space="preserve">. u odnosu na do tada važeći. </w:t>
      </w:r>
    </w:p>
    <w:p w14:paraId="58FFE38B"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6BC925A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lastRenderedPageBreak/>
        <w:t xml:space="preserve">U ovim Uputama u Prilogu 4. dan je detaljan prikaz izmjena Računskog plana u odnosu na </w:t>
      </w:r>
    </w:p>
    <w:p w14:paraId="1EB5BC6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Računski plan objavljen u Narodnim novinama broj 158/23.</w:t>
      </w:r>
    </w:p>
    <w:p w14:paraId="3D097B5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2FCD436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 xml:space="preserve">Pravilnik o korištenju sredstava Europske unije (Narodne novine, br. 44/24) </w:t>
      </w:r>
    </w:p>
    <w:p w14:paraId="709F5986"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p>
    <w:p w14:paraId="2C3A4FB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Pravilnik o korištenju sredstava Europske unije u primjeni je od proračunskog procesa za </w:t>
      </w:r>
    </w:p>
    <w:p w14:paraId="5411A20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razdoblje 2025. -2027. a propisuje: </w:t>
      </w:r>
    </w:p>
    <w:p w14:paraId="4382ED38" w14:textId="77777777" w:rsidR="0079451F" w:rsidRPr="0079451F" w:rsidRDefault="0079451F" w:rsidP="0079451F">
      <w:pPr>
        <w:numPr>
          <w:ilvl w:val="0"/>
          <w:numId w:val="7"/>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način planiranja i izvršavanja sredstava Europske unije,  </w:t>
      </w:r>
    </w:p>
    <w:p w14:paraId="10D35A09" w14:textId="77777777" w:rsidR="0079451F" w:rsidRPr="0079451F" w:rsidRDefault="0079451F" w:rsidP="0079451F">
      <w:pPr>
        <w:numPr>
          <w:ilvl w:val="0"/>
          <w:numId w:val="7"/>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povrat sredstava te  </w:t>
      </w:r>
    </w:p>
    <w:p w14:paraId="1731B2D6" w14:textId="77777777" w:rsidR="0079451F" w:rsidRPr="0079451F" w:rsidRDefault="0079451F" w:rsidP="0079451F">
      <w:pPr>
        <w:numPr>
          <w:ilvl w:val="0"/>
          <w:numId w:val="7"/>
        </w:numPr>
        <w:tabs>
          <w:tab w:val="left" w:pos="0"/>
        </w:tabs>
        <w:suppressAutoHyphens/>
        <w:autoSpaceDN w:val="0"/>
        <w:spacing w:after="0" w:line="240" w:lineRule="auto"/>
        <w:contextualSpacing/>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evidentiranje i izvještavanje o sredstvima Europske unije u Republici Hrvatskoj.  </w:t>
      </w:r>
    </w:p>
    <w:p w14:paraId="68A66B9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537B8F39"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U svibnju 2025. godine Ministarstvo financija izdalo je novu Uputu za računovodstveno evidentiranje sredstava Europske unije (dalje u tekstu Uputa EU). Uputa EU uređuje pravila za </w:t>
      </w:r>
    </w:p>
    <w:p w14:paraId="46325D1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računovodstvene evidencije poslovnih promjena vezanih za upravljanje i korištenje EU sredstava koja su na raspolaganju Republici Hrvatskoj kroz programsko razdoblje 2021. – 2027. </w:t>
      </w:r>
    </w:p>
    <w:p w14:paraId="152A1DF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Uputa je dostupna u aplikaciji Ministarstva financija Financijsko izvještavanje u sustavu </w:t>
      </w:r>
    </w:p>
    <w:p w14:paraId="0BCC41B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proračuna i Registar proračunskih i izvanproračunskih korisnika (RKPFI).</w:t>
      </w:r>
    </w:p>
    <w:p w14:paraId="3601805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72A55D4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sz w:val="24"/>
          <w:szCs w:val="24"/>
          <w:lang w:eastAsia="hr-HR"/>
        </w:rPr>
      </w:pPr>
      <w:r w:rsidRPr="0079451F">
        <w:rPr>
          <w:rFonts w:ascii="Times New Roman" w:eastAsia="Times New Roman" w:hAnsi="Times New Roman" w:cs="Times New Roman"/>
          <w:b/>
          <w:sz w:val="24"/>
          <w:szCs w:val="24"/>
          <w:lang w:eastAsia="hr-HR"/>
        </w:rPr>
        <w:t>Pravilnik o proračunskim klasifikacijama (Narodne novine, br. 4/24 i 122/25)</w:t>
      </w:r>
    </w:p>
    <w:p w14:paraId="4CF928B1"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b/>
          <w:bCs/>
          <w:sz w:val="24"/>
          <w:szCs w:val="24"/>
          <w:u w:val="single"/>
          <w:lang w:eastAsia="hr-HR"/>
        </w:rPr>
      </w:pPr>
    </w:p>
    <w:p w14:paraId="0D9AE05A"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Pravilnik o proračunskim klasifikacijama donesen u siječnju 2025.</w:t>
      </w:r>
      <w:r w:rsidRPr="0079451F">
        <w:rPr>
          <w:rFonts w:ascii="Times New Roman" w:eastAsia="Times New Roman" w:hAnsi="Times New Roman" w:cs="Times New Roman"/>
          <w:sz w:val="24"/>
          <w:szCs w:val="24"/>
          <w:lang w:eastAsia="hr-HR"/>
        </w:rPr>
        <w:t xml:space="preserve"> u primjeni je od proračunskog ciklusa 2025. – 2027. U skladu s odredbama Pravilnika o proračunskim klasifikacijama iz siječnja 2025. kao i u skladu s prethodnim pravilnicima na razini državnog proračuna i proračuna jedinica lokalne i područne (regionalne) samouprave koristile su se obvezne oznake izvora financiranja isključivo na razini razreda i to na sljedeći način: </w:t>
      </w:r>
    </w:p>
    <w:p w14:paraId="099D8C34"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1 opći prihodi i primici</w:t>
      </w:r>
    </w:p>
    <w:p w14:paraId="7C186082"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2 doprinosi </w:t>
      </w:r>
    </w:p>
    <w:p w14:paraId="4E3B4F3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3 vlastiti prihodi </w:t>
      </w:r>
    </w:p>
    <w:p w14:paraId="545AD1B6"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4 prihodi za posebne namjene </w:t>
      </w:r>
    </w:p>
    <w:p w14:paraId="3B2C2010"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5 pomoći </w:t>
      </w:r>
    </w:p>
    <w:p w14:paraId="26D6E3B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6 donacije </w:t>
      </w:r>
    </w:p>
    <w:p w14:paraId="1CEA145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7 prihodi od prodaje ili zamjene nefinancijske imovine i naknade s naslova osiguranja </w:t>
      </w:r>
    </w:p>
    <w:p w14:paraId="5B1BC81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8 namjenski primici. </w:t>
      </w:r>
    </w:p>
    <w:p w14:paraId="53D7FCC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200A84F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Uz obvezne oznake izvora financiranja i na državnoj i na lokalnoj odnosno regionalnoj razini u prethodnom razdoblju postojale su vlastite oznake nižih razina izvora financiranja temeljene na Pravilniku o proračunskim klasifikacijama, a razvijene radi potrebe više ili manje detaljnog praćenja određenih izvora financiranja. Dodatne oznake izvora financiranja za državnu razinu određivalo je Ministarstvo financija, a za regionalnu i lokalnu razinu upravno tijelo jedinice nadležno za financije.</w:t>
      </w:r>
    </w:p>
    <w:p w14:paraId="4E9BC38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48AA17E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bCs/>
          <w:sz w:val="24"/>
          <w:szCs w:val="24"/>
          <w:lang w:eastAsia="hr-HR"/>
        </w:rPr>
        <w:t>Izmjenama i dopunama Pravilnika</w:t>
      </w:r>
      <w:r w:rsidRPr="0079451F">
        <w:rPr>
          <w:rFonts w:ascii="Times New Roman" w:eastAsia="Times New Roman" w:hAnsi="Times New Roman" w:cs="Times New Roman"/>
          <w:sz w:val="24"/>
          <w:szCs w:val="24"/>
          <w:lang w:eastAsia="hr-HR"/>
        </w:rPr>
        <w:t xml:space="preserve"> proširena je obveza primjene jedinstvenih oznaka izvora financiranja na način da uz brojčane oznake i nazive razreda izvora financiranja koje su se do sada primjenjivale, od sada kao obvezne za primjenu postaju i: - brojčane oznake i nazivi skupina izvora financiranja (druga razina) te - određene podskupine izvora financiranja za EU sredstva (treća razina).</w:t>
      </w:r>
    </w:p>
    <w:p w14:paraId="406388F4"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4589CD89"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U nastavku se daje prikaz </w:t>
      </w:r>
      <w:r w:rsidRPr="0079451F">
        <w:rPr>
          <w:rFonts w:ascii="Times New Roman" w:eastAsia="Times New Roman" w:hAnsi="Times New Roman" w:cs="Times New Roman"/>
          <w:bCs/>
          <w:sz w:val="24"/>
          <w:szCs w:val="24"/>
          <w:lang w:eastAsia="hr-HR"/>
        </w:rPr>
        <w:t>razreda i skupina izvora financiranja koje će se ujednačeno koristiti za sve jedinice lokalne i područne (regionalne) samouprave</w:t>
      </w:r>
      <w:r w:rsidRPr="0079451F">
        <w:rPr>
          <w:rFonts w:ascii="Times New Roman" w:eastAsia="Times New Roman" w:hAnsi="Times New Roman" w:cs="Times New Roman"/>
          <w:sz w:val="24"/>
          <w:szCs w:val="24"/>
          <w:lang w:eastAsia="hr-HR"/>
        </w:rPr>
        <w:t xml:space="preserve"> na sljedeći način:</w:t>
      </w:r>
    </w:p>
    <w:p w14:paraId="529ED2E4"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11 Opći prihodi i primici</w:t>
      </w:r>
    </w:p>
    <w:p w14:paraId="320D51AA"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lastRenderedPageBreak/>
        <w:t>31 Vlastiti prihodi</w:t>
      </w:r>
    </w:p>
    <w:p w14:paraId="4402C29F"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40 Prihodi od komunalne naknade i komunalnog doprinosa,</w:t>
      </w:r>
    </w:p>
    <w:p w14:paraId="38F11BC3"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42 Prihodi od spomeničke rente,</w:t>
      </w:r>
    </w:p>
    <w:p w14:paraId="14C2E50E"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43 Ostali prihodi za posebne namjene,</w:t>
      </w:r>
    </w:p>
    <w:p w14:paraId="13D9FC11"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50 Pomoći iz državnog proračuna,</w:t>
      </w:r>
    </w:p>
    <w:p w14:paraId="2CA7D193"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51 Programi Unije,</w:t>
      </w:r>
    </w:p>
    <w:p w14:paraId="3D1FAD20" w14:textId="77777777" w:rsid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510 Programi Unije,</w:t>
      </w:r>
    </w:p>
    <w:p w14:paraId="03416B5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52 Ostale pomoći,</w:t>
      </w:r>
    </w:p>
    <w:p w14:paraId="7FC06DE0"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53 Darovnice,</w:t>
      </w:r>
    </w:p>
    <w:p w14:paraId="14443932"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54 Europski poljoprivredni jamstveni fond (EAGF),</w:t>
      </w:r>
    </w:p>
    <w:p w14:paraId="1852DF4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 Fondovi EU,</w:t>
      </w:r>
    </w:p>
    <w:p w14:paraId="3E4D3FE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561 Europski socijalni fond plus,</w:t>
      </w:r>
    </w:p>
    <w:p w14:paraId="349A2E5B"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562 Kohezijski fond,</w:t>
      </w:r>
    </w:p>
    <w:p w14:paraId="19F128EF"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563 Europski fond za regionalni razvoj,</w:t>
      </w:r>
    </w:p>
    <w:p w14:paraId="53BC246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564 Fond za pomorstvo, ribarstvo i akvakulturu,</w:t>
      </w:r>
    </w:p>
    <w:p w14:paraId="73CE4E00"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565 Europski poljoprivredni fond za ruralni razvoj,</w:t>
      </w:r>
    </w:p>
    <w:p w14:paraId="4C933F20"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566 Modernizacijski fond,</w:t>
      </w:r>
    </w:p>
    <w:p w14:paraId="47E98278"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567 Socijalni fond za klimatsku politiku,</w:t>
      </w:r>
    </w:p>
    <w:p w14:paraId="643F193F"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57 Ostali programi EU,</w:t>
      </w:r>
    </w:p>
    <w:p w14:paraId="63B8760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575 Fond za azil, migracije i integraciju,</w:t>
      </w:r>
    </w:p>
    <w:p w14:paraId="3695CDB4"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577 Fond za pravednu tranziciju,</w:t>
      </w:r>
    </w:p>
    <w:p w14:paraId="2C014B55"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578 Fond za unutarnju sigurnost,</w:t>
      </w:r>
    </w:p>
    <w:p w14:paraId="48B3C6A8"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579 Fond za integrirano upravljanje granicama,</w:t>
      </w:r>
    </w:p>
    <w:p w14:paraId="33D8FF83"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58 Instrumenti EU nove generacije,</w:t>
      </w:r>
    </w:p>
    <w:p w14:paraId="26CF0E52"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581 Mehanizam za oporavak i otpornost – bespovratna sredstva,</w:t>
      </w:r>
    </w:p>
    <w:p w14:paraId="70652F6F"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61 Donacije,</w:t>
      </w:r>
    </w:p>
    <w:p w14:paraId="74D9B8BF"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71 Prihodi od prodaje ili zamjene nefinancijske imovine i naknade s naslova osiguranja,</w:t>
      </w:r>
    </w:p>
    <w:p w14:paraId="5F91684D"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81 Namjenski primici od zaduživanja,</w:t>
      </w:r>
    </w:p>
    <w:p w14:paraId="685B47FC" w14:textId="77777777" w:rsidR="0079451F" w:rsidRPr="0079451F" w:rsidRDefault="0079451F" w:rsidP="0079451F">
      <w:pPr>
        <w:numPr>
          <w:ilvl w:val="0"/>
          <w:numId w:val="8"/>
        </w:num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810 Namjenski primici od zaduživanja – ostali.</w:t>
      </w:r>
    </w:p>
    <w:p w14:paraId="10E56B9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4C5E0A1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Uz prethodno propisane obvezne razrede, skupine i podskupine Pravilnikom su predviđene i dodatne analitičke oznake izvora financiranja vezane uz EU tijekove te dodatne analitičke oznake izvora financiranja za pomoći koje se doznačavaju iz državnog proračuna.</w:t>
      </w:r>
    </w:p>
    <w:p w14:paraId="4EB562E7" w14:textId="0F1D1909"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Pravilnikom je primjena </w:t>
      </w:r>
      <w:r w:rsidRPr="0079451F">
        <w:rPr>
          <w:rFonts w:ascii="Times New Roman" w:eastAsia="Times New Roman" w:hAnsi="Times New Roman" w:cs="Times New Roman"/>
          <w:bCs/>
          <w:sz w:val="24"/>
          <w:szCs w:val="24"/>
          <w:lang w:eastAsia="hr-HR"/>
        </w:rPr>
        <w:t>obvezna u planiranju i izvršavanju proračuna i financijskog plana od proračunskog ciklusa za razdoblje 202</w:t>
      </w:r>
      <w:r w:rsidR="00852082">
        <w:rPr>
          <w:rFonts w:ascii="Times New Roman" w:eastAsia="Times New Roman" w:hAnsi="Times New Roman" w:cs="Times New Roman"/>
          <w:bCs/>
          <w:sz w:val="24"/>
          <w:szCs w:val="24"/>
          <w:lang w:eastAsia="hr-HR"/>
        </w:rPr>
        <w:t>7</w:t>
      </w:r>
      <w:r w:rsidRPr="0079451F">
        <w:rPr>
          <w:rFonts w:ascii="Times New Roman" w:eastAsia="Times New Roman" w:hAnsi="Times New Roman" w:cs="Times New Roman"/>
          <w:bCs/>
          <w:sz w:val="24"/>
          <w:szCs w:val="24"/>
          <w:lang w:eastAsia="hr-HR"/>
        </w:rPr>
        <w:t>. – 202</w:t>
      </w:r>
      <w:r w:rsidR="00852082">
        <w:rPr>
          <w:rFonts w:ascii="Times New Roman" w:eastAsia="Times New Roman" w:hAnsi="Times New Roman" w:cs="Times New Roman"/>
          <w:bCs/>
          <w:sz w:val="24"/>
          <w:szCs w:val="24"/>
          <w:lang w:eastAsia="hr-HR"/>
        </w:rPr>
        <w:t>9</w:t>
      </w:r>
      <w:r w:rsidRPr="0079451F">
        <w:rPr>
          <w:rFonts w:ascii="Times New Roman" w:eastAsia="Times New Roman" w:hAnsi="Times New Roman" w:cs="Times New Roman"/>
          <w:bCs/>
          <w:sz w:val="24"/>
          <w:szCs w:val="24"/>
          <w:lang w:eastAsia="hr-HR"/>
        </w:rPr>
        <w:t>.</w:t>
      </w:r>
      <w:r w:rsidRPr="0079451F">
        <w:rPr>
          <w:rFonts w:ascii="Times New Roman" w:eastAsia="Times New Roman" w:hAnsi="Times New Roman" w:cs="Times New Roman"/>
          <w:sz w:val="24"/>
          <w:szCs w:val="24"/>
          <w:lang w:eastAsia="hr-HR"/>
        </w:rPr>
        <w:t xml:space="preserve"> za izvore financiranja unutar razreda 5 Pomoći i 8 Namjenski primici na sljedeći način: </w:t>
      </w:r>
    </w:p>
    <w:p w14:paraId="1FA01641"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51 Programi Unije, 510 Programi Unije, </w:t>
      </w:r>
    </w:p>
    <w:p w14:paraId="5B82896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56 Fondovi EU, 561 Europski socijalni fond plus, 562 Kohezijski fond, 563 Europski fond za regionalni razvoj, 564 Fond za pomorstvo, ribarstvo i akvakulturu, 565 Europski poljoprivredni fond za ruralni razvoj, 566 Modernizacijski fond, 567 Socijalni fond za klimatsku politiku, </w:t>
      </w:r>
    </w:p>
    <w:p w14:paraId="39DD89A2"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57 Ostali programi EU, 575 Fond za azil, migracije i integraciju, 577 Fond za pravednu tranziciju, 578 Fond za unutarnju sigurnost, 579 Fond za integrirano upravljanje granicama, </w:t>
      </w:r>
    </w:p>
    <w:p w14:paraId="02F5F08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58 Instrumenti EU nove generacije, 581 Mehanizam za oporavak i otpornost – bespovratna sredstva, </w:t>
      </w:r>
    </w:p>
    <w:p w14:paraId="301A5639"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5012 Pomoći iz državnog proračuna kroz nacionalno sufinanciranje EU projekata, 50815 Pomoći kroz namjenske primitke od zaduživanja – NPOO i </w:t>
      </w:r>
    </w:p>
    <w:p w14:paraId="7D6A8BFE"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sym w:font="Symbol" w:char="F0B7"/>
      </w:r>
      <w:r w:rsidRPr="0079451F">
        <w:rPr>
          <w:rFonts w:ascii="Times New Roman" w:eastAsia="Times New Roman" w:hAnsi="Times New Roman" w:cs="Times New Roman"/>
          <w:sz w:val="24"/>
          <w:szCs w:val="24"/>
          <w:lang w:eastAsia="hr-HR"/>
        </w:rPr>
        <w:t xml:space="preserve"> 810 Namjenski primici od zaduživanja – ostali </w:t>
      </w:r>
    </w:p>
    <w:p w14:paraId="7B898475"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65AB8000"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lastRenderedPageBreak/>
        <w:t xml:space="preserve">zajedno sa dodatnim analitičkim oznakama izvora financiranja kako slijedi: </w:t>
      </w:r>
    </w:p>
    <w:p w14:paraId="7F5A77CF"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− 00 raspoloživ predujam ili unaprijed naplaćen prihod </w:t>
      </w:r>
    </w:p>
    <w:p w14:paraId="4CB32B0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− 11 </w:t>
      </w:r>
      <w:proofErr w:type="spellStart"/>
      <w:r w:rsidRPr="0079451F">
        <w:rPr>
          <w:rFonts w:ascii="Times New Roman" w:eastAsia="Times New Roman" w:hAnsi="Times New Roman" w:cs="Times New Roman"/>
          <w:sz w:val="24"/>
          <w:szCs w:val="24"/>
          <w:lang w:eastAsia="hr-HR"/>
        </w:rPr>
        <w:t>predfinanciranje</w:t>
      </w:r>
      <w:proofErr w:type="spellEnd"/>
      <w:r w:rsidRPr="0079451F">
        <w:rPr>
          <w:rFonts w:ascii="Times New Roman" w:eastAsia="Times New Roman" w:hAnsi="Times New Roman" w:cs="Times New Roman"/>
          <w:sz w:val="24"/>
          <w:szCs w:val="24"/>
          <w:lang w:eastAsia="hr-HR"/>
        </w:rPr>
        <w:t xml:space="preserve"> iz općih prihoda i primitaka</w:t>
      </w:r>
    </w:p>
    <w:p w14:paraId="1087461A"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− 31 </w:t>
      </w:r>
      <w:proofErr w:type="spellStart"/>
      <w:r w:rsidRPr="0079451F">
        <w:rPr>
          <w:rFonts w:ascii="Times New Roman" w:eastAsia="Times New Roman" w:hAnsi="Times New Roman" w:cs="Times New Roman"/>
          <w:sz w:val="24"/>
          <w:szCs w:val="24"/>
          <w:lang w:eastAsia="hr-HR"/>
        </w:rPr>
        <w:t>predfinanciranje</w:t>
      </w:r>
      <w:proofErr w:type="spellEnd"/>
      <w:r w:rsidRPr="0079451F">
        <w:rPr>
          <w:rFonts w:ascii="Times New Roman" w:eastAsia="Times New Roman" w:hAnsi="Times New Roman" w:cs="Times New Roman"/>
          <w:sz w:val="24"/>
          <w:szCs w:val="24"/>
          <w:lang w:eastAsia="hr-HR"/>
        </w:rPr>
        <w:t xml:space="preserve"> iz vlastitih prihoda </w:t>
      </w:r>
    </w:p>
    <w:p w14:paraId="309905A6"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− 43 </w:t>
      </w:r>
      <w:proofErr w:type="spellStart"/>
      <w:r w:rsidRPr="0079451F">
        <w:rPr>
          <w:rFonts w:ascii="Times New Roman" w:eastAsia="Times New Roman" w:hAnsi="Times New Roman" w:cs="Times New Roman"/>
          <w:sz w:val="24"/>
          <w:szCs w:val="24"/>
          <w:lang w:eastAsia="hr-HR"/>
        </w:rPr>
        <w:t>predfinanciranje</w:t>
      </w:r>
      <w:proofErr w:type="spellEnd"/>
      <w:r w:rsidRPr="0079451F">
        <w:rPr>
          <w:rFonts w:ascii="Times New Roman" w:eastAsia="Times New Roman" w:hAnsi="Times New Roman" w:cs="Times New Roman"/>
          <w:sz w:val="24"/>
          <w:szCs w:val="24"/>
          <w:lang w:eastAsia="hr-HR"/>
        </w:rPr>
        <w:t xml:space="preserve"> iz ostalih prihoda za posebne namjene </w:t>
      </w:r>
    </w:p>
    <w:p w14:paraId="797A7F9A" w14:textId="77777777" w:rsid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− 81 </w:t>
      </w:r>
      <w:proofErr w:type="spellStart"/>
      <w:r w:rsidRPr="0079451F">
        <w:rPr>
          <w:rFonts w:ascii="Times New Roman" w:eastAsia="Times New Roman" w:hAnsi="Times New Roman" w:cs="Times New Roman"/>
          <w:sz w:val="24"/>
          <w:szCs w:val="24"/>
          <w:lang w:eastAsia="hr-HR"/>
        </w:rPr>
        <w:t>predfinanciranje</w:t>
      </w:r>
      <w:proofErr w:type="spellEnd"/>
      <w:r w:rsidRPr="0079451F">
        <w:rPr>
          <w:rFonts w:ascii="Times New Roman" w:eastAsia="Times New Roman" w:hAnsi="Times New Roman" w:cs="Times New Roman"/>
          <w:sz w:val="24"/>
          <w:szCs w:val="24"/>
          <w:lang w:eastAsia="hr-HR"/>
        </w:rPr>
        <w:t xml:space="preserve"> iz namjenskih primitaka od zaduživanja.</w:t>
      </w:r>
    </w:p>
    <w:p w14:paraId="0F138C46" w14:textId="77777777" w:rsidR="00B14206" w:rsidRDefault="00B14206"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5AB3DA8B" w14:textId="77777777" w:rsidR="00B14206" w:rsidRPr="00B14206" w:rsidRDefault="00B14206" w:rsidP="00B14206">
      <w:pPr>
        <w:tabs>
          <w:tab w:val="left" w:pos="0"/>
        </w:tabs>
        <w:suppressAutoHyphens/>
        <w:autoSpaceDN w:val="0"/>
        <w:spacing w:after="0" w:line="240" w:lineRule="auto"/>
        <w:rPr>
          <w:rFonts w:ascii="Times New Roman" w:eastAsia="Times New Roman" w:hAnsi="Times New Roman" w:cs="Times New Roman"/>
          <w:sz w:val="24"/>
          <w:szCs w:val="24"/>
          <w:lang w:eastAsia="hr-HR"/>
        </w:rPr>
      </w:pPr>
      <w:r w:rsidRPr="00B14206">
        <w:rPr>
          <w:rFonts w:ascii="Times New Roman" w:eastAsia="Times New Roman" w:hAnsi="Times New Roman" w:cs="Times New Roman"/>
          <w:sz w:val="24"/>
          <w:szCs w:val="24"/>
          <w:lang w:eastAsia="hr-HR"/>
        </w:rPr>
        <w:t>Uz prethodno navedene obveze koje su na snazi od 1. siječnja 2026. izmjenama i dopunama</w:t>
      </w:r>
    </w:p>
    <w:p w14:paraId="40D3E74E" w14:textId="77777777" w:rsidR="00B14206" w:rsidRPr="00B14206" w:rsidRDefault="00B14206" w:rsidP="00B14206">
      <w:pPr>
        <w:tabs>
          <w:tab w:val="left" w:pos="0"/>
        </w:tabs>
        <w:suppressAutoHyphens/>
        <w:autoSpaceDN w:val="0"/>
        <w:spacing w:after="0" w:line="240" w:lineRule="auto"/>
        <w:rPr>
          <w:rFonts w:ascii="Times New Roman" w:eastAsia="Times New Roman" w:hAnsi="Times New Roman" w:cs="Times New Roman"/>
          <w:sz w:val="24"/>
          <w:szCs w:val="24"/>
          <w:lang w:eastAsia="hr-HR"/>
        </w:rPr>
      </w:pPr>
      <w:r w:rsidRPr="00B14206">
        <w:rPr>
          <w:rFonts w:ascii="Times New Roman" w:eastAsia="Times New Roman" w:hAnsi="Times New Roman" w:cs="Times New Roman"/>
          <w:sz w:val="24"/>
          <w:szCs w:val="24"/>
          <w:lang w:eastAsia="hr-HR"/>
        </w:rPr>
        <w:t>Pravilnika o proračunskim klasifikacijama dodatno je propisana obveza jedinicama</w:t>
      </w:r>
    </w:p>
    <w:p w14:paraId="1C5D68E4" w14:textId="77777777" w:rsidR="00B14206" w:rsidRPr="00B14206" w:rsidRDefault="00B14206" w:rsidP="00B14206">
      <w:pPr>
        <w:tabs>
          <w:tab w:val="left" w:pos="0"/>
        </w:tabs>
        <w:suppressAutoHyphens/>
        <w:autoSpaceDN w:val="0"/>
        <w:spacing w:after="0" w:line="240" w:lineRule="auto"/>
        <w:rPr>
          <w:rFonts w:ascii="Times New Roman" w:eastAsia="Times New Roman" w:hAnsi="Times New Roman" w:cs="Times New Roman"/>
          <w:sz w:val="24"/>
          <w:szCs w:val="24"/>
          <w:lang w:eastAsia="hr-HR"/>
        </w:rPr>
      </w:pPr>
      <w:r w:rsidRPr="00B14206">
        <w:rPr>
          <w:rFonts w:ascii="Times New Roman" w:eastAsia="Times New Roman" w:hAnsi="Times New Roman" w:cs="Times New Roman"/>
          <w:sz w:val="24"/>
          <w:szCs w:val="24"/>
          <w:lang w:eastAsia="hr-HR"/>
        </w:rPr>
        <w:t>primjene jedinstvenih oznaka izvora financiranja i za ostale izvore financiranja i to od 1.</w:t>
      </w:r>
    </w:p>
    <w:p w14:paraId="1D5F8739" w14:textId="468DA63B" w:rsidR="00B14206" w:rsidRPr="0079451F" w:rsidRDefault="00B14206" w:rsidP="00B14206">
      <w:pPr>
        <w:tabs>
          <w:tab w:val="left" w:pos="0"/>
        </w:tabs>
        <w:suppressAutoHyphens/>
        <w:autoSpaceDN w:val="0"/>
        <w:spacing w:after="0" w:line="240" w:lineRule="auto"/>
        <w:rPr>
          <w:rFonts w:ascii="Times New Roman" w:eastAsia="Times New Roman" w:hAnsi="Times New Roman" w:cs="Times New Roman"/>
          <w:sz w:val="24"/>
          <w:szCs w:val="24"/>
          <w:lang w:eastAsia="hr-HR"/>
        </w:rPr>
      </w:pPr>
      <w:r w:rsidRPr="00B14206">
        <w:rPr>
          <w:rFonts w:ascii="Times New Roman" w:eastAsia="Times New Roman" w:hAnsi="Times New Roman" w:cs="Times New Roman"/>
          <w:sz w:val="24"/>
          <w:szCs w:val="24"/>
          <w:lang w:eastAsia="hr-HR"/>
        </w:rPr>
        <w:t>siječnja 2027.</w:t>
      </w:r>
    </w:p>
    <w:p w14:paraId="6B7E3007"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63056AC3"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61DD9C2C"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p>
    <w:p w14:paraId="0DBD1BF4" w14:textId="77777777" w:rsidR="0079451F" w:rsidRPr="0079451F" w:rsidRDefault="0079451F" w:rsidP="0079451F">
      <w:pPr>
        <w:tabs>
          <w:tab w:val="left" w:pos="0"/>
        </w:tabs>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 xml:space="preserve"> </w:t>
      </w:r>
      <w:r w:rsidRPr="0079451F">
        <w:rPr>
          <w:rFonts w:ascii="Times New Roman" w:eastAsia="Times New Roman" w:hAnsi="Times New Roman" w:cs="Arial"/>
          <w:b/>
          <w:bCs/>
          <w:sz w:val="24"/>
          <w:szCs w:val="24"/>
          <w:lang w:eastAsia="hr-HR"/>
        </w:rPr>
        <w:t>DOSTUPNOST MATERIJALA</w:t>
      </w:r>
    </w:p>
    <w:p w14:paraId="2AE61C8F"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58E26746" w14:textId="567AD6EF"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r w:rsidRPr="0079451F">
        <w:rPr>
          <w:rFonts w:ascii="Times New Roman" w:eastAsia="Times New Roman" w:hAnsi="Times New Roman" w:cs="Times New Roman"/>
          <w:sz w:val="24"/>
          <w:szCs w:val="24"/>
          <w:lang w:eastAsia="hr-HR"/>
        </w:rPr>
        <w:t>Na Internet stranici Općine Pr</w:t>
      </w:r>
      <w:r w:rsidR="006E6F8D">
        <w:rPr>
          <w:rFonts w:ascii="Times New Roman" w:eastAsia="Times New Roman" w:hAnsi="Times New Roman" w:cs="Times New Roman"/>
          <w:sz w:val="24"/>
          <w:szCs w:val="24"/>
          <w:lang w:eastAsia="hr-HR"/>
        </w:rPr>
        <w:t>omina</w:t>
      </w:r>
      <w:r w:rsidRPr="0079451F">
        <w:rPr>
          <w:rFonts w:ascii="Times New Roman" w:eastAsia="Times New Roman" w:hAnsi="Times New Roman" w:cs="Times New Roman"/>
          <w:sz w:val="24"/>
          <w:szCs w:val="24"/>
          <w:lang w:eastAsia="hr-HR"/>
        </w:rPr>
        <w:t xml:space="preserve"> nalaze se ove Upute za izradu prijedloga proračuna i financijskog plana proračunskog korisnika Općine P</w:t>
      </w:r>
      <w:r w:rsidR="006E6F8D">
        <w:rPr>
          <w:rFonts w:ascii="Times New Roman" w:eastAsia="Times New Roman" w:hAnsi="Times New Roman" w:cs="Times New Roman"/>
          <w:sz w:val="24"/>
          <w:szCs w:val="24"/>
          <w:lang w:eastAsia="hr-HR"/>
        </w:rPr>
        <w:t>romina</w:t>
      </w:r>
      <w:r w:rsidRPr="0079451F">
        <w:rPr>
          <w:rFonts w:ascii="Times New Roman" w:eastAsia="Times New Roman" w:hAnsi="Times New Roman" w:cs="Times New Roman"/>
          <w:sz w:val="24"/>
          <w:szCs w:val="24"/>
          <w:lang w:eastAsia="hr-HR"/>
        </w:rPr>
        <w:t xml:space="preserve"> za razdoblje od 202</w:t>
      </w:r>
      <w:r w:rsidR="00504BB6">
        <w:rPr>
          <w:rFonts w:ascii="Times New Roman" w:eastAsia="Times New Roman" w:hAnsi="Times New Roman" w:cs="Times New Roman"/>
          <w:sz w:val="24"/>
          <w:szCs w:val="24"/>
          <w:lang w:eastAsia="hr-HR"/>
        </w:rPr>
        <w:t>7</w:t>
      </w:r>
      <w:r w:rsidRPr="0079451F">
        <w:rPr>
          <w:rFonts w:ascii="Times New Roman" w:eastAsia="Times New Roman" w:hAnsi="Times New Roman" w:cs="Times New Roman"/>
          <w:sz w:val="24"/>
          <w:szCs w:val="24"/>
          <w:lang w:eastAsia="hr-HR"/>
        </w:rPr>
        <w:t>. do 202</w:t>
      </w:r>
      <w:r w:rsidR="00504BB6">
        <w:rPr>
          <w:rFonts w:ascii="Times New Roman" w:eastAsia="Times New Roman" w:hAnsi="Times New Roman" w:cs="Times New Roman"/>
          <w:sz w:val="24"/>
          <w:szCs w:val="24"/>
          <w:lang w:eastAsia="hr-HR"/>
        </w:rPr>
        <w:t>9</w:t>
      </w:r>
      <w:r w:rsidRPr="0079451F">
        <w:rPr>
          <w:rFonts w:ascii="Times New Roman" w:eastAsia="Times New Roman" w:hAnsi="Times New Roman" w:cs="Times New Roman"/>
          <w:sz w:val="24"/>
          <w:szCs w:val="24"/>
          <w:lang w:eastAsia="hr-HR"/>
        </w:rPr>
        <w:t>. godine.</w:t>
      </w:r>
    </w:p>
    <w:p w14:paraId="385915C0" w14:textId="77777777" w:rsidR="0079451F" w:rsidRPr="0079451F" w:rsidRDefault="0079451F" w:rsidP="0079451F">
      <w:pPr>
        <w:suppressAutoHyphens/>
        <w:autoSpaceDN w:val="0"/>
        <w:spacing w:after="0" w:line="240" w:lineRule="auto"/>
        <w:jc w:val="both"/>
        <w:rPr>
          <w:rFonts w:ascii="Times New Roman" w:eastAsia="Times New Roman" w:hAnsi="Times New Roman" w:cs="Times New Roman"/>
          <w:sz w:val="24"/>
          <w:szCs w:val="24"/>
          <w:lang w:eastAsia="hr-HR"/>
        </w:rPr>
      </w:pPr>
    </w:p>
    <w:p w14:paraId="42012C6A" w14:textId="5659D4BB" w:rsidR="0079451F" w:rsidRDefault="0079451F" w:rsidP="003D2216">
      <w:pPr>
        <w:pStyle w:val="Bezproreda"/>
        <w:rPr>
          <w:rFonts w:eastAsia="Calibri" w:cstheme="minorHAnsi"/>
          <w:b/>
        </w:rPr>
      </w:pPr>
    </w:p>
    <w:p w14:paraId="5F5943D9" w14:textId="6B1B615F" w:rsidR="006E6F8D" w:rsidRDefault="00504BB6" w:rsidP="003D2216">
      <w:pPr>
        <w:pStyle w:val="Bezproreda"/>
        <w:rPr>
          <w:rFonts w:eastAsia="Calibri" w:cstheme="minorHAnsi"/>
          <w:b/>
        </w:rPr>
      </w:pPr>
      <w:r>
        <w:rPr>
          <w:rFonts w:eastAsia="Calibri" w:cstheme="minorHAnsi"/>
          <w:b/>
        </w:rPr>
        <w:t>Pročelnik UO</w:t>
      </w:r>
    </w:p>
    <w:p w14:paraId="72945444" w14:textId="5C361913" w:rsidR="006E6F8D" w:rsidRDefault="006E6F8D" w:rsidP="003D2216">
      <w:pPr>
        <w:pStyle w:val="Bezproreda"/>
        <w:rPr>
          <w:rFonts w:eastAsia="Calibri" w:cstheme="minorHAnsi"/>
          <w:b/>
        </w:rPr>
      </w:pPr>
      <w:r>
        <w:rPr>
          <w:rFonts w:eastAsia="Calibri" w:cstheme="minorHAnsi"/>
          <w:b/>
        </w:rPr>
        <w:t>Marina Parat</w:t>
      </w:r>
    </w:p>
    <w:sectPr w:rsidR="006E6F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2C827FB"/>
    <w:multiLevelType w:val="hybridMultilevel"/>
    <w:tmpl w:val="F86010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CD1F8C"/>
    <w:multiLevelType w:val="hybridMultilevel"/>
    <w:tmpl w:val="E968D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A6A62"/>
    <w:multiLevelType w:val="hybridMultilevel"/>
    <w:tmpl w:val="6348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15155B"/>
    <w:multiLevelType w:val="multilevel"/>
    <w:tmpl w:val="A194232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3D32C79"/>
    <w:multiLevelType w:val="hybridMultilevel"/>
    <w:tmpl w:val="C9623B0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468519B7"/>
    <w:multiLevelType w:val="hybridMultilevel"/>
    <w:tmpl w:val="8FF062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4DE04EDB"/>
    <w:multiLevelType w:val="hybridMultilevel"/>
    <w:tmpl w:val="D11A5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992D6B"/>
    <w:multiLevelType w:val="hybridMultilevel"/>
    <w:tmpl w:val="7D00FD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78973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0694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4304995">
    <w:abstractNumId w:val="4"/>
  </w:num>
  <w:num w:numId="4" w16cid:durableId="119958141">
    <w:abstractNumId w:val="7"/>
  </w:num>
  <w:num w:numId="5" w16cid:durableId="1581791384">
    <w:abstractNumId w:val="0"/>
  </w:num>
  <w:num w:numId="6" w16cid:durableId="402263352">
    <w:abstractNumId w:val="2"/>
  </w:num>
  <w:num w:numId="7" w16cid:durableId="1822237078">
    <w:abstractNumId w:val="3"/>
  </w:num>
  <w:num w:numId="8" w16cid:durableId="1155344440">
    <w:abstractNumId w:val="1"/>
  </w:num>
  <w:num w:numId="9" w16cid:durableId="801313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16"/>
    <w:rsid w:val="000776AC"/>
    <w:rsid w:val="00097132"/>
    <w:rsid w:val="00165618"/>
    <w:rsid w:val="00187806"/>
    <w:rsid w:val="0019426B"/>
    <w:rsid w:val="001A20C8"/>
    <w:rsid w:val="001A6DC1"/>
    <w:rsid w:val="001C2C73"/>
    <w:rsid w:val="001E3EA8"/>
    <w:rsid w:val="00237C6B"/>
    <w:rsid w:val="002A2EDA"/>
    <w:rsid w:val="003D2216"/>
    <w:rsid w:val="00474C72"/>
    <w:rsid w:val="00476C71"/>
    <w:rsid w:val="00490412"/>
    <w:rsid w:val="00504BB6"/>
    <w:rsid w:val="00526209"/>
    <w:rsid w:val="00550C84"/>
    <w:rsid w:val="006015B9"/>
    <w:rsid w:val="006A545C"/>
    <w:rsid w:val="006A5D49"/>
    <w:rsid w:val="006E6F8D"/>
    <w:rsid w:val="006F555A"/>
    <w:rsid w:val="007122B6"/>
    <w:rsid w:val="0079451F"/>
    <w:rsid w:val="007963B6"/>
    <w:rsid w:val="00796839"/>
    <w:rsid w:val="00852082"/>
    <w:rsid w:val="008A79F3"/>
    <w:rsid w:val="008C1CF9"/>
    <w:rsid w:val="00991320"/>
    <w:rsid w:val="009A16FE"/>
    <w:rsid w:val="009D7907"/>
    <w:rsid w:val="009D7A4B"/>
    <w:rsid w:val="00A066CA"/>
    <w:rsid w:val="00AB024B"/>
    <w:rsid w:val="00AB2ABF"/>
    <w:rsid w:val="00AE5C43"/>
    <w:rsid w:val="00B14206"/>
    <w:rsid w:val="00B21539"/>
    <w:rsid w:val="00BA75B7"/>
    <w:rsid w:val="00BB4453"/>
    <w:rsid w:val="00C34C05"/>
    <w:rsid w:val="00C62C4D"/>
    <w:rsid w:val="00D83A98"/>
    <w:rsid w:val="00DB0586"/>
    <w:rsid w:val="00EA4B9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664BF"/>
  <w15:chartTrackingRefBased/>
  <w15:docId w15:val="{EF60CC98-ED51-4A3C-8DEF-CC7ABD8D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216"/>
    <w:pPr>
      <w:spacing w:line="256" w:lineRule="auto"/>
    </w:pPr>
    <w:rPr>
      <w:kern w:val="0"/>
      <w14:ligatures w14:val="none"/>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D2216"/>
    <w:pPr>
      <w:spacing w:after="0" w:line="240" w:lineRule="auto"/>
    </w:pPr>
    <w:rPr>
      <w:kern w:val="0"/>
      <w14:ligatures w14:val="none"/>
    </w:rPr>
  </w:style>
  <w:style w:type="paragraph" w:styleId="Odlomakpopisa">
    <w:name w:val="List Paragraph"/>
    <w:basedOn w:val="Normal"/>
    <w:uiPriority w:val="34"/>
    <w:qFormat/>
    <w:rsid w:val="003D2216"/>
    <w:pPr>
      <w:ind w:left="720"/>
      <w:contextualSpacing/>
    </w:pPr>
  </w:style>
  <w:style w:type="character" w:styleId="Hiperveza">
    <w:name w:val="Hyperlink"/>
    <w:basedOn w:val="Zadanifontodlomka"/>
    <w:uiPriority w:val="99"/>
    <w:semiHidden/>
    <w:unhideWhenUsed/>
    <w:rsid w:val="001E3EA8"/>
    <w:rPr>
      <w:color w:val="0563C1"/>
      <w:u w:val="single"/>
    </w:rPr>
  </w:style>
  <w:style w:type="table" w:styleId="Reetkatablice">
    <w:name w:val="Table Grid"/>
    <w:basedOn w:val="Obinatablica"/>
    <w:uiPriority w:val="59"/>
    <w:rsid w:val="0079451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evizija.hr/hr/kontak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kalni.proracuni@mfin.h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19</Pages>
  <Words>7202</Words>
  <Characters>41057</Characters>
  <Application>Microsoft Office Word</Application>
  <DocSecurity>0</DocSecurity>
  <Lines>342</Lines>
  <Paragraphs>96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Vukušić</dc:creator>
  <cp:keywords/>
  <dc:description/>
  <cp:lastModifiedBy>Marina Parat</cp:lastModifiedBy>
  <cp:revision>12</cp:revision>
  <dcterms:created xsi:type="dcterms:W3CDTF">2026-10-26T07:58:00Z</dcterms:created>
  <dcterms:modified xsi:type="dcterms:W3CDTF">2026-10-26T09:29:00Z</dcterms:modified>
</cp:coreProperties>
</file>